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sz w:val="21"/>
        </w:rPr>
        <mc:AlternateContent>
          <mc:Choice Requires="wpg">
            <w:drawing>
              <wp:anchor distT="0" distB="0" distL="114300" distR="114300" simplePos="0" relativeHeight="251659264" behindDoc="0" locked="0" layoutInCell="1" allowOverlap="1">
                <wp:simplePos x="0" y="0"/>
                <wp:positionH relativeFrom="column">
                  <wp:posOffset>-1652270</wp:posOffset>
                </wp:positionH>
                <wp:positionV relativeFrom="paragraph">
                  <wp:posOffset>339090</wp:posOffset>
                </wp:positionV>
                <wp:extent cx="8471535" cy="5841365"/>
                <wp:effectExtent l="0" t="38100" r="12065" b="13335"/>
                <wp:wrapNone/>
                <wp:docPr id="2" name="组合 2"/>
                <wp:cNvGraphicFramePr/>
                <a:graphic xmlns:a="http://schemas.openxmlformats.org/drawingml/2006/main">
                  <a:graphicData uri="http://schemas.microsoft.com/office/word/2010/wordprocessingGroup">
                    <wpg:wgp>
                      <wpg:cNvGrpSpPr/>
                      <wpg:grpSpPr>
                        <a:xfrm>
                          <a:off x="0" y="0"/>
                          <a:ext cx="8471535" cy="5841365"/>
                          <a:chOff x="8855" y="2779"/>
                          <a:chExt cx="13341" cy="9199"/>
                        </a:xfrm>
                      </wpg:grpSpPr>
                      <wpg:grpSp>
                        <wpg:cNvPr id="3" name="组合 20"/>
                        <wpg:cNvGrpSpPr/>
                        <wpg:grpSpPr>
                          <a:xfrm>
                            <a:off x="8855" y="2779"/>
                            <a:ext cx="13341" cy="7526"/>
                            <a:chOff x="8855" y="2779"/>
                            <a:chExt cx="13341" cy="7526"/>
                          </a:xfrm>
                        </wpg:grpSpPr>
                        <wpg:grpSp>
                          <wpg:cNvPr id="4" name="组合 4"/>
                          <wpg:cNvGrpSpPr/>
                          <wpg:grpSpPr>
                            <a:xfrm>
                              <a:off x="14399" y="2779"/>
                              <a:ext cx="1938" cy="1810"/>
                              <a:chOff x="13305" y="3305"/>
                              <a:chExt cx="1938" cy="1810"/>
                            </a:xfrm>
                          </wpg:grpSpPr>
                          <wps:wsp>
                            <wps:cNvPr id="5" name="任意多边形 2"/>
                            <wps:cNvSpPr/>
                            <wps:spPr>
                              <a:xfrm>
                                <a:off x="13305" y="3305"/>
                                <a:ext cx="842" cy="1241"/>
                              </a:xfrm>
                              <a:custGeom>
                                <a:avLst/>
                                <a:gdLst>
                                  <a:gd name="connisteX0" fmla="*/ 534670 w 534670"/>
                                  <a:gd name="connsiteY0" fmla="*/ 0 h 561340"/>
                                  <a:gd name="connisteX1" fmla="*/ 0 w 534670"/>
                                  <a:gd name="connsiteY1" fmla="*/ 0 h 561340"/>
                                  <a:gd name="connisteX2" fmla="*/ 0 w 534670"/>
                                  <a:gd name="connsiteY2" fmla="*/ 561340 h 561340"/>
                                  <a:gd name="connisteX3" fmla="*/ 427990 w 534670"/>
                                  <a:gd name="connsiteY3" fmla="*/ 561340 h 561340"/>
                                  <a:gd name="connisteX4" fmla="*/ 427990 w 534670"/>
                                  <a:gd name="connsiteY4" fmla="*/ 227330 h 561340"/>
                                  <a:gd name="connisteX5" fmla="*/ 187325 w 534670"/>
                                  <a:gd name="connsiteY5" fmla="*/ 227330 h 561340"/>
                                  <a:gd name="connisteX6" fmla="*/ 187325 w 534670"/>
                                  <a:gd name="connsiteY6" fmla="*/ 414020 h 561340"/>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Lst>
                                <a:rect l="l" t="t" r="r" b="b"/>
                                <a:pathLst>
                                  <a:path w="534670" h="561340">
                                    <a:moveTo>
                                      <a:pt x="534670" y="0"/>
                                    </a:moveTo>
                                    <a:lnTo>
                                      <a:pt x="0" y="0"/>
                                    </a:lnTo>
                                    <a:lnTo>
                                      <a:pt x="0" y="561340"/>
                                    </a:lnTo>
                                    <a:lnTo>
                                      <a:pt x="427990" y="561340"/>
                                    </a:lnTo>
                                    <a:lnTo>
                                      <a:pt x="427990" y="227330"/>
                                    </a:lnTo>
                                    <a:lnTo>
                                      <a:pt x="187325" y="227330"/>
                                    </a:lnTo>
                                    <a:lnTo>
                                      <a:pt x="187325" y="414020"/>
                                    </a:lnTo>
                                  </a:path>
                                </a:pathLst>
                              </a:custGeom>
                              <a:noFill/>
                              <a:ln w="76200"/>
                            </wps:spPr>
                            <wps:style>
                              <a:lnRef idx="2">
                                <a:schemeClr val="accent1">
                                  <a:shade val="50000"/>
                                </a:schemeClr>
                              </a:lnRef>
                              <a:fillRef idx="1">
                                <a:schemeClr val="accent1"/>
                              </a:fillRef>
                              <a:effectRef idx="0">
                                <a:schemeClr val="accent1"/>
                              </a:effectRef>
                              <a:fontRef idx="minor">
                                <a:schemeClr val="lt1"/>
                              </a:fontRef>
                            </wps:style>
                            <wps:bodyPr/>
                          </wps:wsp>
                          <wps:wsp>
                            <wps:cNvPr id="6" name="任意多边形 3"/>
                            <wps:cNvSpPr/>
                            <wps:spPr>
                              <a:xfrm>
                                <a:off x="13853" y="3831"/>
                                <a:ext cx="1390" cy="1284"/>
                              </a:xfrm>
                              <a:custGeom>
                                <a:avLst/>
                                <a:gdLst>
                                  <a:gd name="connisteX0" fmla="*/ 133985 w 882650"/>
                                  <a:gd name="connsiteY0" fmla="*/ 0 h 815340"/>
                                  <a:gd name="connisteX1" fmla="*/ 882650 w 882650"/>
                                  <a:gd name="connsiteY1" fmla="*/ 0 h 815340"/>
                                  <a:gd name="connisteX2" fmla="*/ 882650 w 882650"/>
                                  <a:gd name="connsiteY2" fmla="*/ 815340 h 815340"/>
                                  <a:gd name="connisteX3" fmla="*/ 0 w 882650"/>
                                  <a:gd name="connsiteY3" fmla="*/ 815340 h 815340"/>
                                  <a:gd name="connisteX4" fmla="*/ 0 w 882650"/>
                                  <a:gd name="connsiteY4" fmla="*/ 614680 h 815340"/>
                                  <a:gd name="connisteX5" fmla="*/ 708660 w 882650"/>
                                  <a:gd name="connsiteY5" fmla="*/ 614680 h 815340"/>
                                  <a:gd name="connisteX6" fmla="*/ 708660 w 882650"/>
                                  <a:gd name="connsiteY6" fmla="*/ 227330 h 815340"/>
                                  <a:gd name="connisteX7" fmla="*/ 334645 w 882650"/>
                                  <a:gd name="connsiteY7" fmla="*/ 227330 h 815340"/>
                                  <a:gd name="connisteX8" fmla="*/ 334645 w 882650"/>
                                  <a:gd name="connsiteY8" fmla="*/ 467995 h 815340"/>
                                  <a:gd name="connisteX9" fmla="*/ 548005 w 882650"/>
                                  <a:gd name="connsiteY9" fmla="*/ 467995 h 815340"/>
                                  <a:gd name="connisteX10" fmla="*/ 548005 w 882650"/>
                                  <a:gd name="connsiteY10" fmla="*/ 374650 h 815340"/>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 ang="0">
                                    <a:pos x="connisteX10" y="connsiteY10"/>
                                  </a:cxn>
                                </a:cxnLst>
                                <a:rect l="l" t="t" r="r" b="b"/>
                                <a:pathLst>
                                  <a:path w="882650" h="815340">
                                    <a:moveTo>
                                      <a:pt x="133985" y="0"/>
                                    </a:moveTo>
                                    <a:lnTo>
                                      <a:pt x="882650" y="0"/>
                                    </a:lnTo>
                                    <a:lnTo>
                                      <a:pt x="882650" y="815340"/>
                                    </a:lnTo>
                                    <a:lnTo>
                                      <a:pt x="0" y="815340"/>
                                    </a:lnTo>
                                    <a:lnTo>
                                      <a:pt x="0" y="614680"/>
                                    </a:lnTo>
                                    <a:lnTo>
                                      <a:pt x="708660" y="614680"/>
                                    </a:lnTo>
                                    <a:lnTo>
                                      <a:pt x="708660" y="227330"/>
                                    </a:lnTo>
                                    <a:lnTo>
                                      <a:pt x="334645" y="227330"/>
                                    </a:lnTo>
                                    <a:lnTo>
                                      <a:pt x="334645" y="467995"/>
                                    </a:lnTo>
                                    <a:lnTo>
                                      <a:pt x="548005" y="467995"/>
                                    </a:lnTo>
                                    <a:lnTo>
                                      <a:pt x="548005" y="374650"/>
                                    </a:lnTo>
                                  </a:path>
                                </a:pathLst>
                              </a:custGeom>
                              <a:noFill/>
                              <a:ln w="76200">
                                <a:solidFill>
                                  <a:srgbClr val="F5AC86"/>
                                </a:solidFill>
                              </a:ln>
                            </wps:spPr>
                            <wps:style>
                              <a:lnRef idx="2">
                                <a:schemeClr val="accent1">
                                  <a:shade val="50000"/>
                                </a:schemeClr>
                              </a:lnRef>
                              <a:fillRef idx="1">
                                <a:schemeClr val="accent1"/>
                              </a:fillRef>
                              <a:effectRef idx="0">
                                <a:schemeClr val="accent1"/>
                              </a:effectRef>
                              <a:fontRef idx="minor">
                                <a:schemeClr val="lt1"/>
                              </a:fontRef>
                            </wps:style>
                            <wps:bodyPr/>
                          </wps:wsp>
                        </wpg:grpSp>
                        <wps:wsp>
                          <wps:cNvPr id="7" name="文本框 5"/>
                          <wps:cNvSpPr txBox="1"/>
                          <wps:spPr>
                            <a:xfrm>
                              <a:off x="10178" y="5329"/>
                              <a:ext cx="11162" cy="35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112"/>
                                    <w:szCs w:val="112"/>
                                    <w:lang w:val="en-US" w:eastAsia="zh-CN"/>
                                  </w:rPr>
                                </w:pPr>
                                <w:r>
                                  <w:rPr>
                                    <w:rFonts w:hint="eastAsia" w:ascii="微软雅黑" w:hAnsi="微软雅黑" w:eastAsia="微软雅黑" w:cs="微软雅黑"/>
                                    <w:b w:val="0"/>
                                    <w:bCs/>
                                    <w:color w:val="000000" w:themeColor="text1"/>
                                    <w:sz w:val="112"/>
                                    <w:szCs w:val="112"/>
                                    <w14:textFill>
                                      <w14:solidFill>
                                        <w14:schemeClr w14:val="tx1"/>
                                      </w14:solidFill>
                                    </w14:textFill>
                                  </w:rPr>
                                  <w:t>钢材买卖合同</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8" name="组合 19"/>
                          <wpg:cNvGrpSpPr/>
                          <wpg:grpSpPr>
                            <a:xfrm>
                              <a:off x="8855" y="8400"/>
                              <a:ext cx="13341" cy="1905"/>
                              <a:chOff x="8855" y="8400"/>
                              <a:chExt cx="13341" cy="1905"/>
                            </a:xfrm>
                          </wpg:grpSpPr>
                          <wpg:grpSp>
                            <wpg:cNvPr id="9" name="组合 18"/>
                            <wpg:cNvGrpSpPr/>
                            <wpg:grpSpPr>
                              <a:xfrm>
                                <a:off x="8855" y="8400"/>
                                <a:ext cx="13341" cy="1905"/>
                                <a:chOff x="8855" y="8400"/>
                                <a:chExt cx="13341" cy="1905"/>
                              </a:xfrm>
                            </wpg:grpSpPr>
                            <wps:wsp>
                              <wps:cNvPr id="10" name="矩形 8"/>
                              <wps:cNvSpPr/>
                              <wps:spPr>
                                <a:xfrm>
                                  <a:off x="9411" y="8400"/>
                                  <a:ext cx="12559" cy="1705"/>
                                </a:xfrm>
                                <a:prstGeom prst="rect">
                                  <a:avLst/>
                                </a:prstGeom>
                                <a:solidFill>
                                  <a:srgbClr val="D053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13" name="组合 16"/>
                              <wpg:cNvGrpSpPr/>
                              <wpg:grpSpPr>
                                <a:xfrm>
                                  <a:off x="8855" y="10093"/>
                                  <a:ext cx="13341" cy="212"/>
                                  <a:chOff x="8855" y="10114"/>
                                  <a:chExt cx="13341" cy="359"/>
                                </a:xfrm>
                              </wpg:grpSpPr>
                              <wps:wsp>
                                <wps:cNvPr id="22" name="平行四边形 14"/>
                                <wps:cNvSpPr/>
                                <wps:spPr>
                                  <a:xfrm>
                                    <a:off x="8855" y="10114"/>
                                    <a:ext cx="10041" cy="359"/>
                                  </a:xfrm>
                                  <a:prstGeom prst="parallelogram">
                                    <a:avLst>
                                      <a:gd name="adj" fmla="val 169080"/>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 name="平行四边形 15"/>
                                <wps:cNvSpPr/>
                                <wps:spPr>
                                  <a:xfrm>
                                    <a:off x="17756" y="10114"/>
                                    <a:ext cx="4440" cy="359"/>
                                  </a:xfrm>
                                  <a:prstGeom prst="parallelogram">
                                    <a:avLst>
                                      <a:gd name="adj" fmla="val 169080"/>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s:wsp>
                            <wps:cNvPr id="24" name="文本框 10"/>
                            <wps:cNvSpPr txBox="1"/>
                            <wps:spPr>
                              <a:xfrm>
                                <a:off x="12252" y="8506"/>
                                <a:ext cx="8021" cy="138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96"/>
                                      <w:szCs w:val="96"/>
                                      <w:lang w:val="en-US" w:eastAsia="zh-CN"/>
                                    </w:rPr>
                                  </w:pPr>
                                  <w:r>
                                    <w:rPr>
                                      <w:rFonts w:hint="eastAsia"/>
                                      <w:sz w:val="96"/>
                                      <w:szCs w:val="96"/>
                                      <w:lang w:val="en-US" w:eastAsia="zh-CN"/>
                                    </w:rPr>
                                    <w:t>诚信•合作•共赢</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s:wsp>
                        <wps:cNvPr id="16" name="直接连接符 1"/>
                        <wps:cNvCnPr/>
                        <wps:spPr>
                          <a:xfrm>
                            <a:off x="14326" y="11978"/>
                            <a:ext cx="2947" cy="0"/>
                          </a:xfrm>
                          <a:prstGeom prst="line">
                            <a:avLst/>
                          </a:prstGeom>
                          <a:ln>
                            <a:solidFill>
                              <a:srgbClr val="D0535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30.1pt;margin-top:26.7pt;height:459.95pt;width:667.05pt;z-index:251659264;mso-width-relative:page;mso-height-relative:page;" coordorigin="8855,2779" coordsize="13341,9199" o:gfxdata="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">
                <o:lock v:ext="edit" aspectratio="f"/>
                <v:group id="组合 20" o:spid="_x0000_s1026" o:spt="203" style="position:absolute;left:8855;top:2779;height:7526;width:13341;" coordorigin="8855,2779" coordsize="13341,7526"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group id="_x0000_s1026" o:spid="_x0000_s1026" o:spt="203" style="position:absolute;left:14399;top:2779;height:1810;width:1938;" coordorigin="13305,3305" coordsize="1938,1810"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任意多边形 2" o:spid="_x0000_s1026" o:spt="100" style="position:absolute;left:13305;top:3305;height:1241;width:842;" filled="f" stroked="t" coordsize="534670,561340" o:gfxdata="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KNnKrsAAADa&#10;AAAADwAAAAAAAAABACAAAAAiAAAAZHJzL2Rvd25yZXYueG1sUEsBAhQAFAAAAAgAh07iQDMvBZ47&#10;AAAAOQAAABAAAAAAAAAAAQAgAAAACgEAAGRycy9zaGFwZXhtbC54bWxQSwUGAAAAAAYABgBbAQAA&#10;tAMAAAAA&#10;" path="m534670,0l0,0,0,561340,427990,561340,427990,227330,187325,227330,187325,414020e">
                      <v:path o:connectlocs="842,0;0,0;0,1241;674,1241;674,502;295,502;295,915" o:connectangles="0,0,0,0,0,0,0"/>
                      <v:fill on="f" focussize="0,0"/>
                      <v:stroke weight="6pt" color="#41719C [3204]" miterlimit="8" joinstyle="miter"/>
                      <v:imagedata o:title=""/>
                      <o:lock v:ext="edit" aspectratio="f"/>
                    </v:shape>
                    <v:shape id="任意多边形 3" o:spid="_x0000_s1026" o:spt="100" style="position:absolute;left:13853;top:3831;height:1284;width:1390;" filled="f" stroked="t" coordsize="882650,815340" o:gfxdata="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zY2ULsAAADa&#10;AAAADwAAAAAAAAABACAAAAAiAAAAZHJzL2Rvd25yZXYueG1sUEsBAhQAFAAAAAgAh07iQDMvBZ47&#10;AAAAOQAAABAAAAAAAAAAAQAgAAAACgEAAGRycy9zaGFwZXhtbC54bWxQSwUGAAAAAAYABgBbAQAA&#10;tAMAAAAA&#10;" path="m133985,0l882650,0,882650,815340,0,815340,0,614680,708660,614680,708660,227330,334645,227330,334645,467995,548005,467995,548005,374650e">
                      <v:path o:connectlocs="211,0;1390,0;1390,1284;0,1284;0,968;1116,968;1116,358;527,358;527,737;863,737;863,590" o:connectangles="0,0,0,0,0,0,0,0,0,0,0"/>
                      <v:fill on="f" focussize="0,0"/>
                      <v:stroke weight="6pt" color="#F5AC86 [3204]" miterlimit="8" joinstyle="miter"/>
                      <v:imagedata o:title=""/>
                      <o:lock v:ext="edit" aspectratio="f"/>
                    </v:shape>
                  </v:group>
                  <v:shape id="文本框 5" o:spid="_x0000_s1026" o:spt="202" type="#_x0000_t202" style="position:absolute;left:10178;top:5329;height:3500;width:11162;" filled="f" stroked="f" coordsize="21600,21600" o:gfxdata="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XEvC/&#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jc w:val="center"/>
                            <w:rPr>
                              <w:rFonts w:hint="eastAsia"/>
                              <w:sz w:val="112"/>
                              <w:szCs w:val="112"/>
                              <w:lang w:val="en-US" w:eastAsia="zh-CN"/>
                            </w:rPr>
                          </w:pPr>
                          <w:r>
                            <w:rPr>
                              <w:rFonts w:hint="eastAsia" w:ascii="微软雅黑" w:hAnsi="微软雅黑" w:eastAsia="微软雅黑" w:cs="微软雅黑"/>
                              <w:b w:val="0"/>
                              <w:bCs/>
                              <w:color w:val="000000" w:themeColor="text1"/>
                              <w:sz w:val="112"/>
                              <w:szCs w:val="112"/>
                              <w14:textFill>
                                <w14:solidFill>
                                  <w14:schemeClr w14:val="tx1"/>
                                </w14:solidFill>
                              </w14:textFill>
                            </w:rPr>
                            <w:t>钢材买卖合同</w:t>
                          </w:r>
                        </w:p>
                      </w:txbxContent>
                    </v:textbox>
                  </v:shape>
                  <v:group id="组合 19" o:spid="_x0000_s1026" o:spt="203" style="position:absolute;left:8855;top:8400;height:1905;width:13341;" coordorigin="8855,8400" coordsize="13341,1905"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group id="组合 18" o:spid="_x0000_s1026" o:spt="203" style="position:absolute;left:8855;top:8400;height:1905;width:13341;" coordorigin="8855,8400" coordsize="13341,1905"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rect id="矩形 8" o:spid="_x0000_s1026" o:spt="1" style="position:absolute;left:9411;top:8400;height:1705;width:12559;v-text-anchor:middle;" fillcolor="#D05350" filled="t" stroked="f" coordsize="21600,21600" o:gfxdata="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8hEC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id="组合 16" o:spid="_x0000_s1026" o:spt="203" style="position:absolute;left:8855;top:10093;height:212;width:13341;" coordorigin="8855,10114" coordsize="13341,359"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shape id="平行四边形 14" o:spid="_x0000_s1026" o:spt="7" type="#_x0000_t7" style="position:absolute;left:8855;top:10114;height:359;width:10041;v-text-anchor:middle;" fillcolor="#4472C4 [3208]" filled="t" stroked="f" coordsize="21600,21600" o:gfxdata="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S7E07sAAADb&#10;AAAADwAAAAAAAAABACAAAAAiAAAAZHJzL2Rvd25yZXYueG1sUEsBAhQAFAAAAAgAh07iQDMvBZ47&#10;AAAAOQAAABAAAAAAAAAAAQAgAAAACgEAAGRycy9zaGFwZXhtbC54bWxQSwUGAAAAAAYABgBbAQAA&#10;tAMAAAAA&#10;" adj="1306">
                          <v:fill on="t" focussize="0,0"/>
                          <v:stroke on="f" weight="1pt" miterlimit="8" joinstyle="miter"/>
                          <v:imagedata o:title=""/>
                          <o:lock v:ext="edit" aspectratio="f"/>
                        </v:shape>
                        <v:shape id="平行四边形 15" o:spid="_x0000_s1026" o:spt="7" type="#_x0000_t7" style="position:absolute;left:17756;top:10114;height:359;width:4440;v-text-anchor:middle;" fillcolor="#5B9BD5 [3204]" filled="t" stroked="f" coordsize="21600,21600" o:gfxdata="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vhrKW8AAAA&#10;2wAAAA8AAAAAAAAAAQAgAAAAIgAAAGRycy9kb3ducmV2LnhtbFBLAQIUABQAAAAIAIdO4kAzLwWe&#10;OwAAADkAAAAQAAAAAAAAAAEAIAAAAAsBAABkcnMvc2hhcGV4bWwueG1sUEsFBgAAAAAGAAYAWwEA&#10;ALUDAAAAAA==&#10;" adj="2953">
                          <v:fill on="t" focussize="0,0"/>
                          <v:stroke on="f" weight="1pt" miterlimit="8" joinstyle="miter"/>
                          <v:imagedata o:title=""/>
                          <o:lock v:ext="edit" aspectratio="f"/>
                        </v:shape>
                      </v:group>
                    </v:group>
                    <v:shape id="文本框 10" o:spid="_x0000_s1026" o:spt="202" type="#_x0000_t202" style="position:absolute;left:12252;top:8506;height:1388;width:8021;" filled="f" stroked="f" coordsize="21600,21600" o:gfxdata="UEsDBAoAAAAAAIdO4kAAAAAAAAAAAAAAAAAEAAAAZHJzL1BLAwQUAAAACACHTuJAenOFPr4AAADb&#10;AAAADwAAAGRycy9kb3ducmV2LnhtbEWPS4vCQBCE74L/YWjBm04M7i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nOFP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eastAsia" w:eastAsiaTheme="minorEastAsia"/>
                                <w:sz w:val="96"/>
                                <w:szCs w:val="96"/>
                                <w:lang w:val="en-US" w:eastAsia="zh-CN"/>
                              </w:rPr>
                            </w:pPr>
                            <w:r>
                              <w:rPr>
                                <w:rFonts w:hint="eastAsia"/>
                                <w:sz w:val="96"/>
                                <w:szCs w:val="96"/>
                                <w:lang w:val="en-US" w:eastAsia="zh-CN"/>
                              </w:rPr>
                              <w:t>诚信•合作•共赢</w:t>
                            </w:r>
                          </w:p>
                        </w:txbxContent>
                      </v:textbox>
                    </v:shape>
                  </v:group>
                </v:group>
                <v:line id="直接连接符 1" o:spid="_x0000_s1026" o:spt="20" style="position:absolute;left:14326;top:11978;height:0;width:2947;" filled="f" stroked="t" coordsize="21600,21600" o:gfxdata="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0t7XrsAAADb&#10;AAAADwAAAAAAAAABACAAAAAiAAAAZHJzL2Rvd25yZXYueG1sUEsBAhQAFAAAAAgAh07iQDMvBZ47&#10;AAAAOQAAABAAAAAAAAAAAQAgAAAACgEAAGRycy9zaGFwZXhtbC54bWxQSwUGAAAAAAYABgBbAQAA&#10;tAMAAAAA&#10;">
                  <v:fill on="f" focussize="0,0"/>
                  <v:stroke weight="0.5pt" color="#D05350 [3204]" miterlimit="8" joinstyle="miter"/>
                  <v:imagedata o:title=""/>
                  <o:lock v:ext="edit" aspectratio="f"/>
                </v:line>
              </v:group>
            </w:pict>
          </mc:Fallback>
        </mc:AlternateContent>
      </w:r>
    </w:p>
    <w:p>
      <w:pPr>
        <w:spacing w:line="240" w:lineRule="auto"/>
        <w:jc w:val="both"/>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p>
    <w:p>
      <w:pPr>
        <w:spacing w:line="240" w:lineRule="auto"/>
        <w:jc w:val="both"/>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p>
    <w:p>
      <w:pPr>
        <w:spacing w:line="240" w:lineRule="auto"/>
        <w:jc w:val="both"/>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p>
    <w:p>
      <w:pPr>
        <w:spacing w:line="240" w:lineRule="auto"/>
        <w:jc w:val="both"/>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p>
    <w:p>
      <w:pPr>
        <w:spacing w:line="240" w:lineRule="auto"/>
        <w:jc w:val="both"/>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p>
    <w:p>
      <w:pPr>
        <w:spacing w:line="240" w:lineRule="auto"/>
        <w:jc w:val="both"/>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p>
    <w:p>
      <w:pPr>
        <w:spacing w:line="240" w:lineRule="auto"/>
        <w:jc w:val="both"/>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p>
    <w:p>
      <w:pPr>
        <w:spacing w:line="240" w:lineRule="auto"/>
        <w:jc w:val="both"/>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p>
    <w:p>
      <w:pPr>
        <w:spacing w:line="240" w:lineRule="auto"/>
        <w:jc w:val="both"/>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p>
    <w:p>
      <w:pPr>
        <w:spacing w:line="240" w:lineRule="auto"/>
        <w:jc w:val="both"/>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p>
    <w:p>
      <w:pPr>
        <w:spacing w:line="240" w:lineRule="auto"/>
        <w:jc w:val="both"/>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p>
    <w:p>
      <w:pPr>
        <w:spacing w:line="240" w:lineRule="auto"/>
        <w:jc w:val="both"/>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p>
    <w:p>
      <w:pPr>
        <w:spacing w:line="240" w:lineRule="auto"/>
        <w:jc w:val="both"/>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p>
    <w:p>
      <w:pPr>
        <w:spacing w:line="240" w:lineRule="auto"/>
        <w:jc w:val="both"/>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p>
    <w:p>
      <w:pPr>
        <w:spacing w:line="240" w:lineRule="auto"/>
        <w:jc w:val="both"/>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p>
    <w:p>
      <w:pPr>
        <w:spacing w:line="240" w:lineRule="auto"/>
        <w:jc w:val="both"/>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p>
    <w:p>
      <w:pPr>
        <w:spacing w:line="240" w:lineRule="auto"/>
        <w:jc w:val="both"/>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p>
    <w:p>
      <w:pPr>
        <w:spacing w:line="240" w:lineRule="auto"/>
        <w:jc w:val="both"/>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p>
    <w:p>
      <w:pPr>
        <w:spacing w:line="240" w:lineRule="auto"/>
        <w:jc w:val="both"/>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p>
    <w:p>
      <w:pPr>
        <w:spacing w:line="240" w:lineRule="auto"/>
        <w:jc w:val="both"/>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p>
    <w:p>
      <w:pPr>
        <w:spacing w:line="240" w:lineRule="auto"/>
        <w:jc w:val="both"/>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p>
    <w:p>
      <w:pPr>
        <w:spacing w:line="240" w:lineRule="auto"/>
        <w:jc w:val="both"/>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编</w:t>
      </w:r>
      <w:r>
        <w:rPr>
          <w:rFonts w:hint="eastAsia" w:ascii="微软雅黑" w:hAnsi="微软雅黑" w:eastAsia="微软雅黑" w:cs="微软雅黑"/>
          <w:b w:val="0"/>
          <w:bCs/>
          <w:color w:val="000000" w:themeColor="text1"/>
          <w:sz w:val="21"/>
          <w:szCs w:val="21"/>
          <w14:textFill>
            <w14:solidFill>
              <w14:schemeClr w14:val="tx1"/>
            </w14:solidFill>
          </w14:textFill>
        </w:rPr>
        <w:t>号：</w:t>
      </w:r>
      <w:r>
        <w:rPr>
          <w:rFonts w:hint="eastAsia" w:ascii="微软雅黑" w:hAnsi="微软雅黑" w:eastAsia="微软雅黑" w:cs="微软雅黑"/>
          <w:b w:val="0"/>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sz w:val="21"/>
          <w:szCs w:val="21"/>
          <w14:textFill>
            <w14:solidFill>
              <w14:schemeClr w14:val="tx1"/>
            </w14:solidFill>
          </w14:textFill>
        </w:rPr>
        <w:t>（单位名称或项目经理部名称缩写-买卖-年份 ）</w:t>
      </w:r>
    </w:p>
    <w:p>
      <w:pPr>
        <w:spacing w:line="240" w:lineRule="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u w:val="single"/>
          <w14:textFill>
            <w14:solidFill>
              <w14:schemeClr w14:val="tx1"/>
            </w14:solidFill>
          </w14:textFill>
        </w:rPr>
        <w:t xml:space="preserve"> （填写全称）         </w:t>
      </w:r>
      <w:r>
        <w:rPr>
          <w:rFonts w:hint="eastAsia" w:ascii="微软雅黑" w:hAnsi="微软雅黑" w:eastAsia="微软雅黑" w:cs="微软雅黑"/>
          <w:b w:val="0"/>
          <w:bCs/>
          <w:color w:val="000000" w:themeColor="text1"/>
          <w:sz w:val="21"/>
          <w:szCs w:val="21"/>
          <w14:textFill>
            <w14:solidFill>
              <w14:schemeClr w14:val="tx1"/>
            </w14:solidFill>
          </w14:textFill>
        </w:rPr>
        <w:t>工程</w:t>
      </w:r>
    </w:p>
    <w:p>
      <w:pPr>
        <w:spacing w:line="240" w:lineRule="auto"/>
        <w:rPr>
          <w:rFonts w:hint="eastAsia" w:ascii="微软雅黑" w:hAnsi="微软雅黑" w:eastAsia="微软雅黑" w:cs="微软雅黑"/>
          <w:b w:val="0"/>
          <w:bCs/>
          <w:color w:val="000000" w:themeColor="text1"/>
          <w:sz w:val="72"/>
          <w:szCs w:val="72"/>
          <w14:textFill>
            <w14:solidFill>
              <w14:schemeClr w14:val="tx1"/>
            </w14:solidFill>
          </w14:textFill>
        </w:rPr>
      </w:pPr>
    </w:p>
    <w:p>
      <w:pPr>
        <w:spacing w:line="240" w:lineRule="auto"/>
        <w:rPr>
          <w:rFonts w:hint="eastAsia" w:ascii="微软雅黑" w:hAnsi="微软雅黑" w:eastAsia="微软雅黑" w:cs="微软雅黑"/>
          <w:b w:val="0"/>
          <w:bCs/>
          <w:color w:val="000000" w:themeColor="text1"/>
          <w:sz w:val="72"/>
          <w:szCs w:val="72"/>
          <w14:textFill>
            <w14:solidFill>
              <w14:schemeClr w14:val="tx1"/>
            </w14:solidFill>
          </w14:textFill>
        </w:rPr>
      </w:pPr>
    </w:p>
    <w:p>
      <w:pPr>
        <w:spacing w:line="240" w:lineRule="auto"/>
        <w:jc w:val="center"/>
        <w:rPr>
          <w:rFonts w:hint="eastAsia" w:ascii="微软雅黑" w:hAnsi="微软雅黑" w:eastAsia="微软雅黑" w:cs="微软雅黑"/>
          <w:b w:val="0"/>
          <w:bCs/>
          <w:color w:val="000000" w:themeColor="text1"/>
          <w:sz w:val="72"/>
          <w:szCs w:val="72"/>
          <w:lang w:eastAsia="zh-CN"/>
          <w14:textFill>
            <w14:solidFill>
              <w14:schemeClr w14:val="tx1"/>
            </w14:solidFill>
          </w14:textFill>
        </w:rPr>
      </w:pPr>
      <w:r>
        <w:rPr>
          <w:rFonts w:hint="eastAsia" w:ascii="微软雅黑" w:hAnsi="微软雅黑" w:eastAsia="微软雅黑" w:cs="微软雅黑"/>
          <w:b w:val="0"/>
          <w:bCs/>
          <w:color w:val="000000" w:themeColor="text1"/>
          <w:sz w:val="72"/>
          <w:szCs w:val="72"/>
          <w14:textFill>
            <w14:solidFill>
              <w14:schemeClr w14:val="tx1"/>
            </w14:solidFill>
          </w14:textFill>
        </w:rPr>
        <w:t>钢材买卖合同</w:t>
      </w:r>
    </w:p>
    <w:p>
      <w:pPr>
        <w:spacing w:line="240" w:lineRule="auto"/>
        <w:ind w:firstLine="1669" w:firstLineChars="795"/>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p>
    <w:p>
      <w:pPr>
        <w:spacing w:line="240" w:lineRule="auto"/>
        <w:ind w:firstLine="1669" w:firstLineChars="795"/>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p>
    <w:p>
      <w:pPr>
        <w:spacing w:line="240" w:lineRule="auto"/>
        <w:ind w:firstLine="1669" w:firstLineChars="795"/>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p>
    <w:p>
      <w:pPr>
        <w:spacing w:line="240" w:lineRule="auto"/>
        <w:ind w:firstLine="1669" w:firstLineChars="795"/>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p>
    <w:p>
      <w:pPr>
        <w:spacing w:line="240" w:lineRule="auto"/>
        <w:ind w:firstLine="1669" w:firstLineChars="795"/>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p>
    <w:p>
      <w:pPr>
        <w:spacing w:line="240" w:lineRule="auto"/>
        <w:ind w:firstLine="1669" w:firstLineChars="795"/>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p>
    <w:p>
      <w:pPr>
        <w:spacing w:line="240" w:lineRule="auto"/>
        <w:ind w:firstLine="1669" w:firstLineChars="795"/>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p>
    <w:p>
      <w:pPr>
        <w:spacing w:line="240" w:lineRule="auto"/>
        <w:jc w:val="left"/>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买方：</w:t>
      </w:r>
      <w:r>
        <w:rPr>
          <w:rFonts w:hint="eastAsia" w:ascii="微软雅黑" w:hAnsi="微软雅黑" w:eastAsia="微软雅黑" w:cs="微软雅黑"/>
          <w:b w:val="0"/>
          <w:bCs/>
          <w:color w:val="000000" w:themeColor="text1"/>
          <w:sz w:val="21"/>
          <w:szCs w:val="21"/>
          <w:u w:val="single"/>
          <w14:textFill>
            <w14:solidFill>
              <w14:schemeClr w14:val="tx1"/>
            </w14:solidFill>
          </w14:textFill>
        </w:rPr>
        <w:t xml:space="preserve">                                            </w:t>
      </w:r>
    </w:p>
    <w:p>
      <w:pPr>
        <w:spacing w:line="240" w:lineRule="auto"/>
        <w:jc w:val="left"/>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卖方：</w:t>
      </w:r>
      <w:r>
        <w:rPr>
          <w:rFonts w:hint="eastAsia" w:ascii="微软雅黑" w:hAnsi="微软雅黑" w:eastAsia="微软雅黑" w:cs="微软雅黑"/>
          <w:b w:val="0"/>
          <w:bCs/>
          <w:color w:val="000000" w:themeColor="text1"/>
          <w:sz w:val="21"/>
          <w:szCs w:val="21"/>
          <w:u w:val="single"/>
          <w14:textFill>
            <w14:solidFill>
              <w14:schemeClr w14:val="tx1"/>
            </w14:solidFill>
          </w14:textFill>
        </w:rPr>
        <w:t xml:space="preserve">                                            </w:t>
      </w:r>
    </w:p>
    <w:p>
      <w:pPr>
        <w:spacing w:line="240" w:lineRule="auto"/>
        <w:jc w:val="left"/>
        <w:rPr>
          <w:rFonts w:hint="eastAsia" w:ascii="微软雅黑" w:hAnsi="微软雅黑" w:eastAsia="微软雅黑" w:cs="微软雅黑"/>
          <w:b w:val="0"/>
          <w:bCs/>
          <w:color w:val="000000" w:themeColor="text1"/>
          <w:sz w:val="21"/>
          <w:szCs w:val="21"/>
          <w:u w:val="single"/>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签订地点：</w:t>
      </w:r>
      <w:r>
        <w:rPr>
          <w:rFonts w:hint="eastAsia" w:ascii="微软雅黑" w:hAnsi="微软雅黑" w:eastAsia="微软雅黑" w:cs="微软雅黑"/>
          <w:b w:val="0"/>
          <w:bCs/>
          <w:color w:val="000000" w:themeColor="text1"/>
          <w:sz w:val="21"/>
          <w:szCs w:val="21"/>
          <w:u w:val="single"/>
          <w14:textFill>
            <w14:solidFill>
              <w14:schemeClr w14:val="tx1"/>
            </w14:solidFill>
          </w14:textFill>
        </w:rPr>
        <w:t xml:space="preserve">                                        </w:t>
      </w:r>
    </w:p>
    <w:p>
      <w:pPr>
        <w:tabs>
          <w:tab w:val="left" w:pos="709"/>
        </w:tabs>
        <w:spacing w:line="240" w:lineRule="auto"/>
        <w:jc w:val="center"/>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签订日期：</w:t>
      </w:r>
      <w:r>
        <w:rPr>
          <w:rFonts w:hint="eastAsia" w:ascii="微软雅黑" w:hAnsi="微软雅黑" w:eastAsia="微软雅黑" w:cs="微软雅黑"/>
          <w:b w:val="0"/>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sz w:val="21"/>
          <w:szCs w:val="21"/>
          <w14:textFill>
            <w14:solidFill>
              <w14:schemeClr w14:val="tx1"/>
            </w14:solidFill>
          </w14:textFill>
        </w:rPr>
        <w:t>年</w:t>
      </w:r>
      <w:r>
        <w:rPr>
          <w:rFonts w:hint="eastAsia" w:ascii="微软雅黑" w:hAnsi="微软雅黑" w:eastAsia="微软雅黑" w:cs="微软雅黑"/>
          <w:b w:val="0"/>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sz w:val="21"/>
          <w:szCs w:val="21"/>
          <w14:textFill>
            <w14:solidFill>
              <w14:schemeClr w14:val="tx1"/>
            </w14:solidFill>
          </w14:textFill>
        </w:rPr>
        <w:t>月</w:t>
      </w:r>
      <w:r>
        <w:rPr>
          <w:rFonts w:hint="eastAsia" w:ascii="微软雅黑" w:hAnsi="微软雅黑" w:eastAsia="微软雅黑" w:cs="微软雅黑"/>
          <w:b w:val="0"/>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sz w:val="21"/>
          <w:szCs w:val="21"/>
          <w14:textFill>
            <w14:solidFill>
              <w14:schemeClr w14:val="tx1"/>
            </w14:solidFill>
          </w14:textFill>
        </w:rPr>
        <w:t>日</w:t>
      </w:r>
    </w:p>
    <w:p>
      <w:pPr>
        <w:tabs>
          <w:tab w:val="left" w:pos="709"/>
        </w:tabs>
        <w:spacing w:line="240" w:lineRule="auto"/>
        <w:jc w:val="center"/>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p>
    <w:p>
      <w:pPr>
        <w:tabs>
          <w:tab w:val="left" w:pos="709"/>
        </w:tabs>
        <w:spacing w:line="240" w:lineRule="auto"/>
        <w:jc w:val="center"/>
        <w:rPr>
          <w:rFonts w:hint="eastAsia" w:ascii="微软雅黑" w:hAnsi="微软雅黑" w:eastAsia="微软雅黑" w:cs="微软雅黑"/>
          <w:b w:val="0"/>
          <w:bCs/>
          <w:color w:val="000000" w:themeColor="text1"/>
          <w:spacing w:val="60"/>
          <w:kern w:val="0"/>
          <w:sz w:val="21"/>
          <w:szCs w:val="21"/>
          <w:lang w:eastAsia="zh-CN"/>
          <w14:textFill>
            <w14:solidFill>
              <w14:schemeClr w14:val="tx1"/>
            </w14:solidFill>
          </w14:textFill>
        </w:rPr>
      </w:pPr>
    </w:p>
    <w:p>
      <w:pPr>
        <w:tabs>
          <w:tab w:val="left" w:pos="709"/>
        </w:tabs>
        <w:spacing w:line="240" w:lineRule="auto"/>
        <w:jc w:val="center"/>
        <w:rPr>
          <w:rFonts w:hint="eastAsia" w:ascii="微软雅黑" w:hAnsi="微软雅黑" w:eastAsia="微软雅黑" w:cs="微软雅黑"/>
          <w:b w:val="0"/>
          <w:bCs/>
          <w:color w:val="000000" w:themeColor="text1"/>
          <w:spacing w:val="60"/>
          <w:kern w:val="0"/>
          <w:sz w:val="21"/>
          <w:szCs w:val="21"/>
          <w14:textFill>
            <w14:solidFill>
              <w14:schemeClr w14:val="tx1"/>
            </w14:solidFill>
          </w14:textFill>
        </w:rPr>
      </w:pPr>
    </w:p>
    <w:p>
      <w:pPr>
        <w:tabs>
          <w:tab w:val="left" w:pos="709"/>
        </w:tabs>
        <w:spacing w:line="240" w:lineRule="auto"/>
        <w:jc w:val="center"/>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pacing w:val="60"/>
          <w:kern w:val="0"/>
          <w:sz w:val="72"/>
          <w:szCs w:val="72"/>
          <w14:textFill>
            <w14:solidFill>
              <w14:schemeClr w14:val="tx1"/>
            </w14:solidFill>
          </w14:textFill>
        </w:rPr>
        <w:t>钢材买卖合同</w:t>
      </w:r>
      <w:r>
        <w:rPr>
          <w:rFonts w:hint="eastAsia" w:ascii="微软雅黑" w:hAnsi="微软雅黑" w:eastAsia="微软雅黑" w:cs="微软雅黑"/>
          <w:b w:val="0"/>
          <w:bCs/>
          <w:color w:val="000000" w:themeColor="text1"/>
          <w:sz w:val="21"/>
          <w:szCs w:val="21"/>
          <w14:textFill>
            <w14:solidFill>
              <w14:schemeClr w14:val="tx1"/>
            </w14:solidFill>
          </w14:textFill>
        </w:rPr>
        <w:t xml:space="preserve">             </w:t>
      </w:r>
    </w:p>
    <w:p>
      <w:pPr>
        <w:spacing w:line="240" w:lineRule="auto"/>
        <w:jc w:val="center"/>
        <w:rPr>
          <w:rFonts w:hint="eastAsia" w:ascii="微软雅黑" w:hAnsi="微软雅黑" w:eastAsia="微软雅黑" w:cs="微软雅黑"/>
          <w:b w:val="0"/>
          <w:bCs/>
          <w:color w:val="000000" w:themeColor="text1"/>
          <w:kern w:val="0"/>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 xml:space="preserve">                                                  合同编号：</w:t>
      </w:r>
      <w:r>
        <w:rPr>
          <w:rFonts w:hint="eastAsia" w:ascii="微软雅黑" w:hAnsi="微软雅黑" w:eastAsia="微软雅黑" w:cs="微软雅黑"/>
          <w:b w:val="0"/>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sz w:val="21"/>
          <w:szCs w:val="21"/>
          <w14:textFill>
            <w14:solidFill>
              <w14:schemeClr w14:val="tx1"/>
            </w14:solidFill>
          </w14:textFill>
        </w:rPr>
        <w:t xml:space="preserve">                                 </w:t>
      </w:r>
      <w:r>
        <w:rPr>
          <w:rFonts w:hint="eastAsia" w:ascii="微软雅黑" w:hAnsi="微软雅黑" w:eastAsia="微软雅黑" w:cs="微软雅黑"/>
          <w:b w:val="0"/>
          <w:bCs/>
          <w:color w:val="000000" w:themeColor="text1"/>
          <w:kern w:val="0"/>
          <w:sz w:val="21"/>
          <w:szCs w:val="21"/>
          <w14:textFill>
            <w14:solidFill>
              <w14:schemeClr w14:val="tx1"/>
            </w14:solidFill>
          </w14:textFill>
        </w:rPr>
        <w:t xml:space="preserve">                                                         </w:t>
      </w:r>
    </w:p>
    <w:p>
      <w:pPr>
        <w:widowControl/>
        <w:spacing w:line="240" w:lineRule="auto"/>
        <w:rPr>
          <w:rFonts w:hint="eastAsia" w:ascii="微软雅黑" w:hAnsi="微软雅黑" w:eastAsia="微软雅黑" w:cs="微软雅黑"/>
          <w:b w:val="0"/>
          <w:bCs/>
          <w:color w:val="000000" w:themeColor="text1"/>
          <w:kern w:val="0"/>
          <w:sz w:val="21"/>
          <w:szCs w:val="21"/>
          <w14:textFill>
            <w14:solidFill>
              <w14:schemeClr w14:val="tx1"/>
            </w14:solidFill>
          </w14:textFill>
        </w:rPr>
      </w:pPr>
      <w:r>
        <w:rPr>
          <w:rFonts w:hint="eastAsia" w:ascii="微软雅黑" w:hAnsi="微软雅黑" w:eastAsia="微软雅黑" w:cs="微软雅黑"/>
          <w:b w:val="0"/>
          <w:bCs/>
          <w:color w:val="000000" w:themeColor="text1"/>
          <w:kern w:val="0"/>
          <w:sz w:val="21"/>
          <w:szCs w:val="21"/>
          <w14:textFill>
            <w14:solidFill>
              <w14:schemeClr w14:val="tx1"/>
            </w14:solidFill>
          </w14:textFill>
        </w:rPr>
        <w:t>买方：</w:t>
      </w:r>
      <w:r>
        <w:rPr>
          <w:rFonts w:hint="eastAsia" w:ascii="微软雅黑" w:hAnsi="微软雅黑" w:eastAsia="微软雅黑" w:cs="微软雅黑"/>
          <w:b w:val="0"/>
          <w:bCs/>
          <w:color w:val="000000" w:themeColor="text1"/>
          <w:kern w:val="0"/>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kern w:val="0"/>
          <w:sz w:val="21"/>
          <w:szCs w:val="21"/>
          <w14:textFill>
            <w14:solidFill>
              <w14:schemeClr w14:val="tx1"/>
            </w14:solidFill>
          </w14:textFill>
        </w:rPr>
        <w:t>（以下简称甲方）</w:t>
      </w:r>
    </w:p>
    <w:p>
      <w:pPr>
        <w:widowControl/>
        <w:spacing w:line="240" w:lineRule="auto"/>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kern w:val="0"/>
          <w:sz w:val="21"/>
          <w:szCs w:val="21"/>
          <w14:textFill>
            <w14:solidFill>
              <w14:schemeClr w14:val="tx1"/>
            </w14:solidFill>
          </w14:textFill>
        </w:rPr>
        <w:t>卖方：</w:t>
      </w:r>
      <w:r>
        <w:rPr>
          <w:rFonts w:hint="eastAsia" w:ascii="微软雅黑" w:hAnsi="微软雅黑" w:eastAsia="微软雅黑" w:cs="微软雅黑"/>
          <w:b w:val="0"/>
          <w:bCs/>
          <w:color w:val="000000" w:themeColor="text1"/>
          <w:kern w:val="0"/>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kern w:val="0"/>
          <w:sz w:val="21"/>
          <w:szCs w:val="21"/>
          <w14:textFill>
            <w14:solidFill>
              <w14:schemeClr w14:val="tx1"/>
            </w14:solidFill>
          </w14:textFill>
        </w:rPr>
        <w:t>（以下简称乙方）</w:t>
      </w:r>
    </w:p>
    <w:p>
      <w:pPr>
        <w:widowControl/>
        <w:spacing w:line="240" w:lineRule="auto"/>
        <w:ind w:firstLine="420" w:firstLineChars="200"/>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提示：为适应“营改增”需要，满足“三流一致，应抵尽抵”的要求，甲方应为法人或具备纳税主体资格的分公司，不能是以指挥部、项目部、工区等临时机构或内部职能部门（但甲方所在地的税务部门明确认可项目部名义签订合同的除外）；合同主体名称应是企业名称的全称，不能为简称。乙方应尽量是一般纳税人｝</w:t>
      </w:r>
    </w:p>
    <w:p>
      <w:pPr>
        <w:widowControl/>
        <w:spacing w:line="240" w:lineRule="auto"/>
        <w:ind w:firstLine="420" w:firstLineChars="200"/>
        <w:rPr>
          <w:rFonts w:hint="eastAsia" w:ascii="微软雅黑" w:hAnsi="微软雅黑" w:eastAsia="微软雅黑" w:cs="微软雅黑"/>
          <w:b w:val="0"/>
          <w:bCs/>
          <w:color w:val="000000" w:themeColor="text1"/>
          <w:kern w:val="0"/>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根据《中华人民共和国合同法》及相关法律法规规定，在平等、自愿、公平和诚实信用的基础上，经双方协商一致，订立本合同。</w:t>
      </w:r>
    </w:p>
    <w:p>
      <w:pPr>
        <w:keepNext/>
        <w:keepLines/>
        <w:spacing w:line="240" w:lineRule="auto"/>
        <w:outlineLvl w:val="0"/>
        <w:rPr>
          <w:rFonts w:hint="eastAsia" w:ascii="微软雅黑" w:hAnsi="微软雅黑" w:eastAsia="微软雅黑" w:cs="微软雅黑"/>
          <w:b w:val="0"/>
          <w:bCs/>
          <w:color w:val="000000" w:themeColor="text1"/>
          <w:kern w:val="44"/>
          <w:sz w:val="21"/>
          <w:szCs w:val="21"/>
          <w14:textFill>
            <w14:solidFill>
              <w14:schemeClr w14:val="tx1"/>
            </w14:solidFill>
          </w14:textFill>
        </w:rPr>
      </w:pPr>
      <w:r>
        <w:rPr>
          <w:rFonts w:hint="eastAsia" w:ascii="微软雅黑" w:hAnsi="微软雅黑" w:eastAsia="微软雅黑" w:cs="微软雅黑"/>
          <w:b w:val="0"/>
          <w:bCs/>
          <w:color w:val="000000" w:themeColor="text1"/>
          <w:kern w:val="44"/>
          <w:sz w:val="21"/>
          <w:szCs w:val="21"/>
          <w14:textFill>
            <w14:solidFill>
              <w14:schemeClr w14:val="tx1"/>
            </w14:solidFill>
          </w14:textFill>
        </w:rPr>
        <w:t xml:space="preserve">    第一条 产品的名称、规格、数量、价格等</w:t>
      </w:r>
    </w:p>
    <w:tbl>
      <w:tblPr>
        <w:tblStyle w:val="2"/>
        <w:tblW w:w="8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418"/>
        <w:gridCol w:w="992"/>
        <w:gridCol w:w="992"/>
        <w:gridCol w:w="993"/>
        <w:gridCol w:w="992"/>
        <w:gridCol w:w="1276"/>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1276" w:type="dxa"/>
            <w:vMerge w:val="restart"/>
            <w:noWrap w:val="0"/>
            <w:vAlign w:val="center"/>
          </w:tcPr>
          <w:p>
            <w:pPr>
              <w:spacing w:line="240" w:lineRule="auto"/>
              <w:jc w:val="center"/>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名称</w:t>
            </w:r>
          </w:p>
        </w:tc>
        <w:tc>
          <w:tcPr>
            <w:tcW w:w="1418" w:type="dxa"/>
            <w:vMerge w:val="restart"/>
            <w:noWrap w:val="0"/>
            <w:vAlign w:val="center"/>
          </w:tcPr>
          <w:p>
            <w:pPr>
              <w:spacing w:line="240" w:lineRule="auto"/>
              <w:jc w:val="center"/>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规格型号</w:t>
            </w:r>
          </w:p>
        </w:tc>
        <w:tc>
          <w:tcPr>
            <w:tcW w:w="992" w:type="dxa"/>
            <w:vMerge w:val="restart"/>
            <w:noWrap w:val="0"/>
            <w:vAlign w:val="center"/>
          </w:tcPr>
          <w:p>
            <w:pPr>
              <w:spacing w:line="240" w:lineRule="auto"/>
              <w:jc w:val="center"/>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单位（吨）</w:t>
            </w:r>
          </w:p>
        </w:tc>
        <w:tc>
          <w:tcPr>
            <w:tcW w:w="992" w:type="dxa"/>
            <w:vMerge w:val="restart"/>
            <w:noWrap w:val="0"/>
            <w:vAlign w:val="center"/>
          </w:tcPr>
          <w:p>
            <w:pPr>
              <w:spacing w:line="240" w:lineRule="auto"/>
              <w:jc w:val="center"/>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数量</w:t>
            </w:r>
          </w:p>
        </w:tc>
        <w:tc>
          <w:tcPr>
            <w:tcW w:w="1985" w:type="dxa"/>
            <w:gridSpan w:val="2"/>
            <w:noWrap w:val="0"/>
            <w:vAlign w:val="center"/>
          </w:tcPr>
          <w:p>
            <w:pPr>
              <w:spacing w:line="240" w:lineRule="auto"/>
              <w:jc w:val="center"/>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不含增值税单价（元）</w:t>
            </w:r>
          </w:p>
        </w:tc>
        <w:tc>
          <w:tcPr>
            <w:tcW w:w="1276" w:type="dxa"/>
            <w:vMerge w:val="restart"/>
            <w:noWrap w:val="0"/>
            <w:vAlign w:val="center"/>
          </w:tcPr>
          <w:p>
            <w:pPr>
              <w:spacing w:line="240" w:lineRule="auto"/>
              <w:jc w:val="center"/>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不含增值税总价</w:t>
            </w:r>
          </w:p>
          <w:p>
            <w:pPr>
              <w:spacing w:line="240" w:lineRule="auto"/>
              <w:jc w:val="center"/>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（元）</w:t>
            </w:r>
          </w:p>
        </w:tc>
        <w:tc>
          <w:tcPr>
            <w:tcW w:w="842" w:type="dxa"/>
            <w:vMerge w:val="restart"/>
            <w:noWrap w:val="0"/>
            <w:vAlign w:val="center"/>
          </w:tcPr>
          <w:p>
            <w:pPr>
              <w:spacing w:line="240" w:lineRule="auto"/>
              <w:jc w:val="center"/>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276" w:type="dxa"/>
            <w:vMerge w:val="continue"/>
            <w:noWrap w:val="0"/>
            <w:vAlign w:val="center"/>
          </w:tcPr>
          <w:p>
            <w:pPr>
              <w:spacing w:line="240" w:lineRule="auto"/>
              <w:jc w:val="center"/>
              <w:rPr>
                <w:rFonts w:hint="eastAsia" w:ascii="微软雅黑" w:hAnsi="微软雅黑" w:eastAsia="微软雅黑" w:cs="微软雅黑"/>
                <w:b w:val="0"/>
                <w:bCs/>
                <w:color w:val="000000" w:themeColor="text1"/>
                <w:sz w:val="21"/>
                <w:szCs w:val="21"/>
                <w14:textFill>
                  <w14:solidFill>
                    <w14:schemeClr w14:val="tx1"/>
                  </w14:solidFill>
                </w14:textFill>
              </w:rPr>
            </w:pPr>
          </w:p>
        </w:tc>
        <w:tc>
          <w:tcPr>
            <w:tcW w:w="1418" w:type="dxa"/>
            <w:vMerge w:val="continue"/>
            <w:noWrap w:val="0"/>
            <w:vAlign w:val="center"/>
          </w:tcPr>
          <w:p>
            <w:pPr>
              <w:spacing w:line="240" w:lineRule="auto"/>
              <w:jc w:val="center"/>
              <w:rPr>
                <w:rFonts w:hint="eastAsia" w:ascii="微软雅黑" w:hAnsi="微软雅黑" w:eastAsia="微软雅黑" w:cs="微软雅黑"/>
                <w:b w:val="0"/>
                <w:bCs/>
                <w:color w:val="000000" w:themeColor="text1"/>
                <w:sz w:val="21"/>
                <w:szCs w:val="21"/>
                <w14:textFill>
                  <w14:solidFill>
                    <w14:schemeClr w14:val="tx1"/>
                  </w14:solidFill>
                </w14:textFill>
              </w:rPr>
            </w:pPr>
          </w:p>
        </w:tc>
        <w:tc>
          <w:tcPr>
            <w:tcW w:w="992" w:type="dxa"/>
            <w:vMerge w:val="continue"/>
            <w:noWrap w:val="0"/>
            <w:vAlign w:val="center"/>
          </w:tcPr>
          <w:p>
            <w:pPr>
              <w:spacing w:line="240" w:lineRule="auto"/>
              <w:jc w:val="center"/>
              <w:rPr>
                <w:rFonts w:hint="eastAsia" w:ascii="微软雅黑" w:hAnsi="微软雅黑" w:eastAsia="微软雅黑" w:cs="微软雅黑"/>
                <w:b w:val="0"/>
                <w:bCs/>
                <w:color w:val="000000" w:themeColor="text1"/>
                <w:sz w:val="21"/>
                <w:szCs w:val="21"/>
                <w14:textFill>
                  <w14:solidFill>
                    <w14:schemeClr w14:val="tx1"/>
                  </w14:solidFill>
                </w14:textFill>
              </w:rPr>
            </w:pPr>
          </w:p>
        </w:tc>
        <w:tc>
          <w:tcPr>
            <w:tcW w:w="992" w:type="dxa"/>
            <w:vMerge w:val="continue"/>
            <w:noWrap w:val="0"/>
            <w:vAlign w:val="center"/>
          </w:tcPr>
          <w:p>
            <w:pPr>
              <w:spacing w:line="240" w:lineRule="auto"/>
              <w:jc w:val="center"/>
              <w:rPr>
                <w:rFonts w:hint="eastAsia" w:ascii="微软雅黑" w:hAnsi="微软雅黑" w:eastAsia="微软雅黑" w:cs="微软雅黑"/>
                <w:b w:val="0"/>
                <w:bCs/>
                <w:color w:val="000000" w:themeColor="text1"/>
                <w:sz w:val="21"/>
                <w:szCs w:val="21"/>
                <w14:textFill>
                  <w14:solidFill>
                    <w14:schemeClr w14:val="tx1"/>
                  </w14:solidFill>
                </w14:textFill>
              </w:rPr>
            </w:pPr>
          </w:p>
        </w:tc>
        <w:tc>
          <w:tcPr>
            <w:tcW w:w="993" w:type="dxa"/>
            <w:noWrap w:val="0"/>
            <w:vAlign w:val="center"/>
          </w:tcPr>
          <w:p>
            <w:pPr>
              <w:spacing w:line="240" w:lineRule="auto"/>
              <w:ind w:firstLine="102" w:firstLineChars="49"/>
              <w:jc w:val="center"/>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基准价</w:t>
            </w:r>
          </w:p>
        </w:tc>
        <w:tc>
          <w:tcPr>
            <w:tcW w:w="992" w:type="dxa"/>
            <w:noWrap w:val="0"/>
            <w:vAlign w:val="center"/>
          </w:tcPr>
          <w:p>
            <w:pPr>
              <w:spacing w:line="240" w:lineRule="auto"/>
              <w:ind w:firstLine="100" w:firstLineChars="48"/>
              <w:jc w:val="center"/>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综合费用</w:t>
            </w:r>
          </w:p>
        </w:tc>
        <w:tc>
          <w:tcPr>
            <w:tcW w:w="1276" w:type="dxa"/>
            <w:vMerge w:val="continue"/>
            <w:noWrap w:val="0"/>
            <w:vAlign w:val="top"/>
          </w:tcPr>
          <w:p>
            <w:pPr>
              <w:spacing w:line="240" w:lineRule="auto"/>
              <w:rPr>
                <w:rFonts w:hint="eastAsia" w:ascii="微软雅黑" w:hAnsi="微软雅黑" w:eastAsia="微软雅黑" w:cs="微软雅黑"/>
                <w:b w:val="0"/>
                <w:bCs/>
                <w:color w:val="000000" w:themeColor="text1"/>
                <w:sz w:val="21"/>
                <w:szCs w:val="21"/>
                <w14:textFill>
                  <w14:solidFill>
                    <w14:schemeClr w14:val="tx1"/>
                  </w14:solidFill>
                </w14:textFill>
              </w:rPr>
            </w:pPr>
          </w:p>
        </w:tc>
        <w:tc>
          <w:tcPr>
            <w:tcW w:w="842" w:type="dxa"/>
            <w:vMerge w:val="continue"/>
            <w:noWrap w:val="0"/>
            <w:vAlign w:val="top"/>
          </w:tcPr>
          <w:p>
            <w:pPr>
              <w:spacing w:line="240" w:lineRule="auto"/>
              <w:rPr>
                <w:rFonts w:hint="eastAsia" w:ascii="微软雅黑" w:hAnsi="微软雅黑" w:eastAsia="微软雅黑" w:cs="微软雅黑"/>
                <w:b w:val="0"/>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76" w:type="dxa"/>
            <w:noWrap w:val="0"/>
            <w:vAlign w:val="top"/>
          </w:tcPr>
          <w:p>
            <w:pPr>
              <w:spacing w:line="240" w:lineRule="auto"/>
              <w:jc w:val="center"/>
              <w:rPr>
                <w:rFonts w:hint="eastAsia" w:ascii="微软雅黑" w:hAnsi="微软雅黑" w:eastAsia="微软雅黑" w:cs="微软雅黑"/>
                <w:b w:val="0"/>
                <w:bCs/>
                <w:color w:val="000000" w:themeColor="text1"/>
                <w:sz w:val="21"/>
                <w:szCs w:val="21"/>
                <w14:textFill>
                  <w14:solidFill>
                    <w14:schemeClr w14:val="tx1"/>
                  </w14:solidFill>
                </w14:textFill>
              </w:rPr>
            </w:pPr>
          </w:p>
        </w:tc>
        <w:tc>
          <w:tcPr>
            <w:tcW w:w="1418" w:type="dxa"/>
            <w:noWrap w:val="0"/>
            <w:vAlign w:val="top"/>
          </w:tcPr>
          <w:p>
            <w:pPr>
              <w:spacing w:line="240" w:lineRule="auto"/>
              <w:rPr>
                <w:rFonts w:hint="eastAsia" w:ascii="微软雅黑" w:hAnsi="微软雅黑" w:eastAsia="微软雅黑" w:cs="微软雅黑"/>
                <w:b w:val="0"/>
                <w:bCs/>
                <w:color w:val="000000" w:themeColor="text1"/>
                <w:sz w:val="21"/>
                <w:szCs w:val="21"/>
                <w14:textFill>
                  <w14:solidFill>
                    <w14:schemeClr w14:val="tx1"/>
                  </w14:solidFill>
                </w14:textFill>
              </w:rPr>
            </w:pPr>
          </w:p>
        </w:tc>
        <w:tc>
          <w:tcPr>
            <w:tcW w:w="992" w:type="dxa"/>
            <w:noWrap w:val="0"/>
            <w:vAlign w:val="top"/>
          </w:tcPr>
          <w:p>
            <w:pPr>
              <w:spacing w:line="240" w:lineRule="auto"/>
              <w:rPr>
                <w:rFonts w:hint="eastAsia" w:ascii="微软雅黑" w:hAnsi="微软雅黑" w:eastAsia="微软雅黑" w:cs="微软雅黑"/>
                <w:b w:val="0"/>
                <w:bCs/>
                <w:color w:val="000000" w:themeColor="text1"/>
                <w:sz w:val="21"/>
                <w:szCs w:val="21"/>
                <w14:textFill>
                  <w14:solidFill>
                    <w14:schemeClr w14:val="tx1"/>
                  </w14:solidFill>
                </w14:textFill>
              </w:rPr>
            </w:pPr>
          </w:p>
        </w:tc>
        <w:tc>
          <w:tcPr>
            <w:tcW w:w="992" w:type="dxa"/>
            <w:noWrap w:val="0"/>
            <w:vAlign w:val="top"/>
          </w:tcPr>
          <w:p>
            <w:pPr>
              <w:spacing w:line="240" w:lineRule="auto"/>
              <w:rPr>
                <w:rFonts w:hint="eastAsia" w:ascii="微软雅黑" w:hAnsi="微软雅黑" w:eastAsia="微软雅黑" w:cs="微软雅黑"/>
                <w:b w:val="0"/>
                <w:bCs/>
                <w:color w:val="000000" w:themeColor="text1"/>
                <w:sz w:val="21"/>
                <w:szCs w:val="21"/>
                <w14:textFill>
                  <w14:solidFill>
                    <w14:schemeClr w14:val="tx1"/>
                  </w14:solidFill>
                </w14:textFill>
              </w:rPr>
            </w:pPr>
          </w:p>
        </w:tc>
        <w:tc>
          <w:tcPr>
            <w:tcW w:w="993" w:type="dxa"/>
            <w:noWrap w:val="0"/>
            <w:vAlign w:val="top"/>
          </w:tcPr>
          <w:p>
            <w:pPr>
              <w:spacing w:line="240" w:lineRule="auto"/>
              <w:rPr>
                <w:rFonts w:hint="eastAsia" w:ascii="微软雅黑" w:hAnsi="微软雅黑" w:eastAsia="微软雅黑" w:cs="微软雅黑"/>
                <w:b w:val="0"/>
                <w:bCs/>
                <w:color w:val="000000" w:themeColor="text1"/>
                <w:sz w:val="21"/>
                <w:szCs w:val="21"/>
                <w14:textFill>
                  <w14:solidFill>
                    <w14:schemeClr w14:val="tx1"/>
                  </w14:solidFill>
                </w14:textFill>
              </w:rPr>
            </w:pPr>
          </w:p>
        </w:tc>
        <w:tc>
          <w:tcPr>
            <w:tcW w:w="992" w:type="dxa"/>
            <w:noWrap w:val="0"/>
            <w:vAlign w:val="top"/>
          </w:tcPr>
          <w:p>
            <w:pPr>
              <w:spacing w:line="240" w:lineRule="auto"/>
              <w:rPr>
                <w:rFonts w:hint="eastAsia" w:ascii="微软雅黑" w:hAnsi="微软雅黑" w:eastAsia="微软雅黑" w:cs="微软雅黑"/>
                <w:b w:val="0"/>
                <w:bCs/>
                <w:color w:val="000000" w:themeColor="text1"/>
                <w:sz w:val="21"/>
                <w:szCs w:val="21"/>
                <w14:textFill>
                  <w14:solidFill>
                    <w14:schemeClr w14:val="tx1"/>
                  </w14:solidFill>
                </w14:textFill>
              </w:rPr>
            </w:pPr>
          </w:p>
        </w:tc>
        <w:tc>
          <w:tcPr>
            <w:tcW w:w="1276" w:type="dxa"/>
            <w:noWrap w:val="0"/>
            <w:vAlign w:val="top"/>
          </w:tcPr>
          <w:p>
            <w:pPr>
              <w:spacing w:line="240" w:lineRule="auto"/>
              <w:rPr>
                <w:rFonts w:hint="eastAsia" w:ascii="微软雅黑" w:hAnsi="微软雅黑" w:eastAsia="微软雅黑" w:cs="微软雅黑"/>
                <w:b w:val="0"/>
                <w:bCs/>
                <w:color w:val="000000" w:themeColor="text1"/>
                <w:sz w:val="21"/>
                <w:szCs w:val="21"/>
                <w14:textFill>
                  <w14:solidFill>
                    <w14:schemeClr w14:val="tx1"/>
                  </w14:solidFill>
                </w14:textFill>
              </w:rPr>
            </w:pPr>
          </w:p>
        </w:tc>
        <w:tc>
          <w:tcPr>
            <w:tcW w:w="842" w:type="dxa"/>
            <w:noWrap w:val="0"/>
            <w:vAlign w:val="top"/>
          </w:tcPr>
          <w:p>
            <w:pPr>
              <w:spacing w:line="240" w:lineRule="auto"/>
              <w:rPr>
                <w:rFonts w:hint="eastAsia" w:ascii="微软雅黑" w:hAnsi="微软雅黑" w:eastAsia="微软雅黑" w:cs="微软雅黑"/>
                <w:b w:val="0"/>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76" w:type="dxa"/>
            <w:noWrap w:val="0"/>
            <w:vAlign w:val="top"/>
          </w:tcPr>
          <w:p>
            <w:pPr>
              <w:spacing w:line="240" w:lineRule="auto"/>
              <w:jc w:val="center"/>
              <w:rPr>
                <w:rFonts w:hint="eastAsia" w:ascii="微软雅黑" w:hAnsi="微软雅黑" w:eastAsia="微软雅黑" w:cs="微软雅黑"/>
                <w:b w:val="0"/>
                <w:bCs/>
                <w:color w:val="000000" w:themeColor="text1"/>
                <w:sz w:val="21"/>
                <w:szCs w:val="21"/>
                <w14:textFill>
                  <w14:solidFill>
                    <w14:schemeClr w14:val="tx1"/>
                  </w14:solidFill>
                </w14:textFill>
              </w:rPr>
            </w:pPr>
          </w:p>
        </w:tc>
        <w:tc>
          <w:tcPr>
            <w:tcW w:w="1418" w:type="dxa"/>
            <w:noWrap w:val="0"/>
            <w:vAlign w:val="top"/>
          </w:tcPr>
          <w:p>
            <w:pPr>
              <w:spacing w:line="240" w:lineRule="auto"/>
              <w:rPr>
                <w:rFonts w:hint="eastAsia" w:ascii="微软雅黑" w:hAnsi="微软雅黑" w:eastAsia="微软雅黑" w:cs="微软雅黑"/>
                <w:b w:val="0"/>
                <w:bCs/>
                <w:color w:val="000000" w:themeColor="text1"/>
                <w:sz w:val="21"/>
                <w:szCs w:val="21"/>
                <w14:textFill>
                  <w14:solidFill>
                    <w14:schemeClr w14:val="tx1"/>
                  </w14:solidFill>
                </w14:textFill>
              </w:rPr>
            </w:pPr>
          </w:p>
        </w:tc>
        <w:tc>
          <w:tcPr>
            <w:tcW w:w="992" w:type="dxa"/>
            <w:noWrap w:val="0"/>
            <w:vAlign w:val="top"/>
          </w:tcPr>
          <w:p>
            <w:pPr>
              <w:spacing w:line="240" w:lineRule="auto"/>
              <w:rPr>
                <w:rFonts w:hint="eastAsia" w:ascii="微软雅黑" w:hAnsi="微软雅黑" w:eastAsia="微软雅黑" w:cs="微软雅黑"/>
                <w:b w:val="0"/>
                <w:bCs/>
                <w:color w:val="000000" w:themeColor="text1"/>
                <w:sz w:val="21"/>
                <w:szCs w:val="21"/>
                <w14:textFill>
                  <w14:solidFill>
                    <w14:schemeClr w14:val="tx1"/>
                  </w14:solidFill>
                </w14:textFill>
              </w:rPr>
            </w:pPr>
          </w:p>
        </w:tc>
        <w:tc>
          <w:tcPr>
            <w:tcW w:w="992" w:type="dxa"/>
            <w:noWrap w:val="0"/>
            <w:vAlign w:val="top"/>
          </w:tcPr>
          <w:p>
            <w:pPr>
              <w:spacing w:line="240" w:lineRule="auto"/>
              <w:rPr>
                <w:rFonts w:hint="eastAsia" w:ascii="微软雅黑" w:hAnsi="微软雅黑" w:eastAsia="微软雅黑" w:cs="微软雅黑"/>
                <w:b w:val="0"/>
                <w:bCs/>
                <w:color w:val="000000" w:themeColor="text1"/>
                <w:sz w:val="21"/>
                <w:szCs w:val="21"/>
                <w14:textFill>
                  <w14:solidFill>
                    <w14:schemeClr w14:val="tx1"/>
                  </w14:solidFill>
                </w14:textFill>
              </w:rPr>
            </w:pPr>
          </w:p>
        </w:tc>
        <w:tc>
          <w:tcPr>
            <w:tcW w:w="993" w:type="dxa"/>
            <w:noWrap w:val="0"/>
            <w:vAlign w:val="top"/>
          </w:tcPr>
          <w:p>
            <w:pPr>
              <w:spacing w:line="240" w:lineRule="auto"/>
              <w:rPr>
                <w:rFonts w:hint="eastAsia" w:ascii="微软雅黑" w:hAnsi="微软雅黑" w:eastAsia="微软雅黑" w:cs="微软雅黑"/>
                <w:b w:val="0"/>
                <w:bCs/>
                <w:color w:val="000000" w:themeColor="text1"/>
                <w:sz w:val="21"/>
                <w:szCs w:val="21"/>
                <w14:textFill>
                  <w14:solidFill>
                    <w14:schemeClr w14:val="tx1"/>
                  </w14:solidFill>
                </w14:textFill>
              </w:rPr>
            </w:pPr>
          </w:p>
        </w:tc>
        <w:tc>
          <w:tcPr>
            <w:tcW w:w="992" w:type="dxa"/>
            <w:noWrap w:val="0"/>
            <w:vAlign w:val="top"/>
          </w:tcPr>
          <w:p>
            <w:pPr>
              <w:spacing w:line="240" w:lineRule="auto"/>
              <w:rPr>
                <w:rFonts w:hint="eastAsia" w:ascii="微软雅黑" w:hAnsi="微软雅黑" w:eastAsia="微软雅黑" w:cs="微软雅黑"/>
                <w:b w:val="0"/>
                <w:bCs/>
                <w:color w:val="000000" w:themeColor="text1"/>
                <w:sz w:val="21"/>
                <w:szCs w:val="21"/>
                <w14:textFill>
                  <w14:solidFill>
                    <w14:schemeClr w14:val="tx1"/>
                  </w14:solidFill>
                </w14:textFill>
              </w:rPr>
            </w:pPr>
          </w:p>
        </w:tc>
        <w:tc>
          <w:tcPr>
            <w:tcW w:w="1276" w:type="dxa"/>
            <w:noWrap w:val="0"/>
            <w:vAlign w:val="top"/>
          </w:tcPr>
          <w:p>
            <w:pPr>
              <w:spacing w:line="240" w:lineRule="auto"/>
              <w:rPr>
                <w:rFonts w:hint="eastAsia" w:ascii="微软雅黑" w:hAnsi="微软雅黑" w:eastAsia="微软雅黑" w:cs="微软雅黑"/>
                <w:b w:val="0"/>
                <w:bCs/>
                <w:color w:val="000000" w:themeColor="text1"/>
                <w:sz w:val="21"/>
                <w:szCs w:val="21"/>
                <w14:textFill>
                  <w14:solidFill>
                    <w14:schemeClr w14:val="tx1"/>
                  </w14:solidFill>
                </w14:textFill>
              </w:rPr>
            </w:pPr>
          </w:p>
        </w:tc>
        <w:tc>
          <w:tcPr>
            <w:tcW w:w="842" w:type="dxa"/>
            <w:noWrap w:val="0"/>
            <w:vAlign w:val="top"/>
          </w:tcPr>
          <w:p>
            <w:pPr>
              <w:spacing w:line="240" w:lineRule="auto"/>
              <w:rPr>
                <w:rFonts w:hint="eastAsia" w:ascii="微软雅黑" w:hAnsi="微软雅黑" w:eastAsia="微软雅黑" w:cs="微软雅黑"/>
                <w:b w:val="0"/>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76" w:type="dxa"/>
            <w:noWrap w:val="0"/>
            <w:vAlign w:val="top"/>
          </w:tcPr>
          <w:p>
            <w:pPr>
              <w:spacing w:line="240" w:lineRule="auto"/>
              <w:jc w:val="center"/>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以上小计</w:t>
            </w:r>
          </w:p>
        </w:tc>
        <w:tc>
          <w:tcPr>
            <w:tcW w:w="1418" w:type="dxa"/>
            <w:noWrap w:val="0"/>
            <w:vAlign w:val="top"/>
          </w:tcPr>
          <w:p>
            <w:pPr>
              <w:spacing w:line="240" w:lineRule="auto"/>
              <w:rPr>
                <w:rFonts w:hint="eastAsia" w:ascii="微软雅黑" w:hAnsi="微软雅黑" w:eastAsia="微软雅黑" w:cs="微软雅黑"/>
                <w:b w:val="0"/>
                <w:bCs/>
                <w:color w:val="000000" w:themeColor="text1"/>
                <w:sz w:val="21"/>
                <w:szCs w:val="21"/>
                <w14:textFill>
                  <w14:solidFill>
                    <w14:schemeClr w14:val="tx1"/>
                  </w14:solidFill>
                </w14:textFill>
              </w:rPr>
            </w:pPr>
          </w:p>
        </w:tc>
        <w:tc>
          <w:tcPr>
            <w:tcW w:w="992" w:type="dxa"/>
            <w:noWrap w:val="0"/>
            <w:vAlign w:val="top"/>
          </w:tcPr>
          <w:p>
            <w:pPr>
              <w:spacing w:line="240" w:lineRule="auto"/>
              <w:rPr>
                <w:rFonts w:hint="eastAsia" w:ascii="微软雅黑" w:hAnsi="微软雅黑" w:eastAsia="微软雅黑" w:cs="微软雅黑"/>
                <w:b w:val="0"/>
                <w:bCs/>
                <w:color w:val="000000" w:themeColor="text1"/>
                <w:sz w:val="21"/>
                <w:szCs w:val="21"/>
                <w14:textFill>
                  <w14:solidFill>
                    <w14:schemeClr w14:val="tx1"/>
                  </w14:solidFill>
                </w14:textFill>
              </w:rPr>
            </w:pPr>
          </w:p>
        </w:tc>
        <w:tc>
          <w:tcPr>
            <w:tcW w:w="992" w:type="dxa"/>
            <w:noWrap w:val="0"/>
            <w:vAlign w:val="top"/>
          </w:tcPr>
          <w:p>
            <w:pPr>
              <w:spacing w:line="240" w:lineRule="auto"/>
              <w:rPr>
                <w:rFonts w:hint="eastAsia" w:ascii="微软雅黑" w:hAnsi="微软雅黑" w:eastAsia="微软雅黑" w:cs="微软雅黑"/>
                <w:b w:val="0"/>
                <w:bCs/>
                <w:color w:val="000000" w:themeColor="text1"/>
                <w:sz w:val="21"/>
                <w:szCs w:val="21"/>
                <w14:textFill>
                  <w14:solidFill>
                    <w14:schemeClr w14:val="tx1"/>
                  </w14:solidFill>
                </w14:textFill>
              </w:rPr>
            </w:pPr>
          </w:p>
        </w:tc>
        <w:tc>
          <w:tcPr>
            <w:tcW w:w="993" w:type="dxa"/>
            <w:noWrap w:val="0"/>
            <w:vAlign w:val="top"/>
          </w:tcPr>
          <w:p>
            <w:pPr>
              <w:spacing w:line="240" w:lineRule="auto"/>
              <w:rPr>
                <w:rFonts w:hint="eastAsia" w:ascii="微软雅黑" w:hAnsi="微软雅黑" w:eastAsia="微软雅黑" w:cs="微软雅黑"/>
                <w:b w:val="0"/>
                <w:bCs/>
                <w:color w:val="000000" w:themeColor="text1"/>
                <w:sz w:val="21"/>
                <w:szCs w:val="21"/>
                <w14:textFill>
                  <w14:solidFill>
                    <w14:schemeClr w14:val="tx1"/>
                  </w14:solidFill>
                </w14:textFill>
              </w:rPr>
            </w:pPr>
          </w:p>
        </w:tc>
        <w:tc>
          <w:tcPr>
            <w:tcW w:w="992" w:type="dxa"/>
            <w:noWrap w:val="0"/>
            <w:vAlign w:val="top"/>
          </w:tcPr>
          <w:p>
            <w:pPr>
              <w:spacing w:line="240" w:lineRule="auto"/>
              <w:rPr>
                <w:rFonts w:hint="eastAsia" w:ascii="微软雅黑" w:hAnsi="微软雅黑" w:eastAsia="微软雅黑" w:cs="微软雅黑"/>
                <w:b w:val="0"/>
                <w:bCs/>
                <w:color w:val="000000" w:themeColor="text1"/>
                <w:sz w:val="21"/>
                <w:szCs w:val="21"/>
                <w14:textFill>
                  <w14:solidFill>
                    <w14:schemeClr w14:val="tx1"/>
                  </w14:solidFill>
                </w14:textFill>
              </w:rPr>
            </w:pPr>
          </w:p>
        </w:tc>
        <w:tc>
          <w:tcPr>
            <w:tcW w:w="1276" w:type="dxa"/>
            <w:noWrap w:val="0"/>
            <w:vAlign w:val="top"/>
          </w:tcPr>
          <w:p>
            <w:pPr>
              <w:spacing w:line="240" w:lineRule="auto"/>
              <w:rPr>
                <w:rFonts w:hint="eastAsia" w:ascii="微软雅黑" w:hAnsi="微软雅黑" w:eastAsia="微软雅黑" w:cs="微软雅黑"/>
                <w:b w:val="0"/>
                <w:bCs/>
                <w:color w:val="000000" w:themeColor="text1"/>
                <w:sz w:val="21"/>
                <w:szCs w:val="21"/>
                <w14:textFill>
                  <w14:solidFill>
                    <w14:schemeClr w14:val="tx1"/>
                  </w14:solidFill>
                </w14:textFill>
              </w:rPr>
            </w:pPr>
          </w:p>
        </w:tc>
        <w:tc>
          <w:tcPr>
            <w:tcW w:w="842" w:type="dxa"/>
            <w:noWrap w:val="0"/>
            <w:vAlign w:val="top"/>
          </w:tcPr>
          <w:p>
            <w:pPr>
              <w:spacing w:line="240" w:lineRule="auto"/>
              <w:rPr>
                <w:rFonts w:hint="eastAsia" w:ascii="微软雅黑" w:hAnsi="微软雅黑" w:eastAsia="微软雅黑" w:cs="微软雅黑"/>
                <w:b w:val="0"/>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76" w:type="dxa"/>
            <w:noWrap w:val="0"/>
            <w:vAlign w:val="top"/>
          </w:tcPr>
          <w:p>
            <w:pPr>
              <w:spacing w:line="240" w:lineRule="auto"/>
              <w:jc w:val="center"/>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增值税</w:t>
            </w:r>
          </w:p>
        </w:tc>
        <w:tc>
          <w:tcPr>
            <w:tcW w:w="7505" w:type="dxa"/>
            <w:gridSpan w:val="7"/>
            <w:noWrap w:val="0"/>
            <w:vAlign w:val="top"/>
          </w:tcPr>
          <w:p>
            <w:pPr>
              <w:spacing w:line="240" w:lineRule="auto"/>
              <w:ind w:firstLine="105" w:firstLineChars="50"/>
              <w:rPr>
                <w:rFonts w:hint="eastAsia" w:ascii="微软雅黑" w:hAnsi="微软雅黑" w:eastAsia="微软雅黑" w:cs="微软雅黑"/>
                <w:b w:val="0"/>
                <w:bCs/>
                <w:color w:val="000000" w:themeColor="text1"/>
                <w:sz w:val="21"/>
                <w:szCs w:val="21"/>
                <w:u w:val="single"/>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增值税税率</w:t>
            </w:r>
            <w:r>
              <w:rPr>
                <w:rFonts w:hint="eastAsia" w:ascii="微软雅黑" w:hAnsi="微软雅黑" w:eastAsia="微软雅黑" w:cs="微软雅黑"/>
                <w:b w:val="0"/>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sz w:val="21"/>
                <w:szCs w:val="21"/>
                <w14:textFill>
                  <w14:solidFill>
                    <w14:schemeClr w14:val="tx1"/>
                  </w14:solidFill>
                </w14:textFill>
              </w:rPr>
              <w:t xml:space="preserve"> 增值税额 </w:t>
            </w:r>
            <w:r>
              <w:rPr>
                <w:rFonts w:hint="eastAsia" w:ascii="微软雅黑" w:hAnsi="微软雅黑" w:eastAsia="微软雅黑" w:cs="微软雅黑"/>
                <w:b w:val="0"/>
                <w:bCs/>
                <w:color w:val="000000" w:themeColor="text1"/>
                <w:sz w:val="2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781" w:type="dxa"/>
            <w:gridSpan w:val="8"/>
            <w:noWrap w:val="0"/>
            <w:vAlign w:val="top"/>
          </w:tcPr>
          <w:p>
            <w:pPr>
              <w:spacing w:line="240" w:lineRule="auto"/>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 xml:space="preserve">含增值税合同总价（大写）：人民币                （小写）：￥  </w:t>
            </w:r>
          </w:p>
        </w:tc>
      </w:tr>
    </w:tbl>
    <w:p>
      <w:pPr>
        <w:spacing w:line="240" w:lineRule="auto"/>
        <w:ind w:firstLine="420" w:firstLineChars="200"/>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1.1本合同暂定总价（含增值税）</w:t>
      </w:r>
      <w:r>
        <w:rPr>
          <w:rFonts w:hint="eastAsia" w:ascii="微软雅黑" w:hAnsi="微软雅黑" w:eastAsia="微软雅黑" w:cs="微软雅黑"/>
          <w:b w:val="0"/>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sz w:val="21"/>
          <w:szCs w:val="21"/>
          <w14:textFill>
            <w14:solidFill>
              <w14:schemeClr w14:val="tx1"/>
            </w14:solidFill>
          </w14:textFill>
        </w:rPr>
        <w:t xml:space="preserve"> 元（大写：人民币</w:t>
      </w:r>
      <w:r>
        <w:rPr>
          <w:rFonts w:hint="eastAsia" w:ascii="微软雅黑" w:hAnsi="微软雅黑" w:eastAsia="微软雅黑" w:cs="微软雅黑"/>
          <w:b w:val="0"/>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sz w:val="21"/>
          <w:szCs w:val="21"/>
          <w14:textFill>
            <w14:solidFill>
              <w14:schemeClr w14:val="tx1"/>
            </w14:solidFill>
          </w14:textFill>
        </w:rPr>
        <w:t>元）。其中，不含税价款为</w:t>
      </w:r>
      <w:r>
        <w:rPr>
          <w:rFonts w:hint="eastAsia" w:ascii="微软雅黑" w:hAnsi="微软雅黑" w:eastAsia="微软雅黑" w:cs="微软雅黑"/>
          <w:b w:val="0"/>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sz w:val="21"/>
          <w:szCs w:val="21"/>
          <w14:textFill>
            <w14:solidFill>
              <w14:schemeClr w14:val="tx1"/>
            </w14:solidFill>
          </w14:textFill>
        </w:rPr>
        <w:t>元（大写：人民币</w:t>
      </w:r>
      <w:r>
        <w:rPr>
          <w:rFonts w:hint="eastAsia" w:ascii="微软雅黑" w:hAnsi="微软雅黑" w:eastAsia="微软雅黑" w:cs="微软雅黑"/>
          <w:b w:val="0"/>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sz w:val="21"/>
          <w:szCs w:val="21"/>
          <w14:textFill>
            <w14:solidFill>
              <w14:schemeClr w14:val="tx1"/>
            </w14:solidFill>
          </w14:textFill>
        </w:rPr>
        <w:t>元），增值税税率为</w:t>
      </w:r>
      <w:r>
        <w:rPr>
          <w:rFonts w:hint="eastAsia" w:ascii="微软雅黑" w:hAnsi="微软雅黑" w:eastAsia="微软雅黑" w:cs="微软雅黑"/>
          <w:b w:val="0"/>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sz w:val="21"/>
          <w:szCs w:val="21"/>
          <w14:textFill>
            <w14:solidFill>
              <w14:schemeClr w14:val="tx1"/>
            </w14:solidFill>
          </w14:textFill>
        </w:rPr>
        <w:t>%，增值税        元（大写：人民币</w:t>
      </w:r>
      <w:r>
        <w:rPr>
          <w:rFonts w:hint="eastAsia" w:ascii="微软雅黑" w:hAnsi="微软雅黑" w:eastAsia="微软雅黑" w:cs="微软雅黑"/>
          <w:b w:val="0"/>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sz w:val="21"/>
          <w:szCs w:val="21"/>
          <w14:textFill>
            <w14:solidFill>
              <w14:schemeClr w14:val="tx1"/>
            </w14:solidFill>
          </w14:textFill>
        </w:rPr>
        <w:t>元）。</w:t>
      </w:r>
    </w:p>
    <w:p>
      <w:pPr>
        <w:spacing w:line="240" w:lineRule="auto"/>
        <w:ind w:firstLine="420" w:firstLineChars="200"/>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kern w:val="0"/>
          <w:sz w:val="21"/>
          <w:szCs w:val="21"/>
          <w:lang w:val="zh-CN"/>
          <w14:textFill>
            <w14:solidFill>
              <w14:schemeClr w14:val="tx1"/>
            </w14:solidFill>
          </w14:textFill>
        </w:rPr>
        <w:t>1.2 表中钢材单价=基准价+综合费用。此单价为乙方运抵甲方指定交货地点的交货价。其中，基准价按照</w:t>
      </w:r>
      <w:r>
        <w:rPr>
          <w:rFonts w:hint="eastAsia" w:ascii="微软雅黑" w:hAnsi="微软雅黑" w:eastAsia="微软雅黑" w:cs="微软雅黑"/>
          <w:b w:val="0"/>
          <w:bCs/>
          <w:color w:val="000000" w:themeColor="text1"/>
          <w:kern w:val="0"/>
          <w:sz w:val="21"/>
          <w:szCs w:val="21"/>
          <w:u w:val="single"/>
          <w:lang w:val="zh-CN"/>
          <w14:textFill>
            <w14:solidFill>
              <w14:schemeClr w14:val="tx1"/>
            </w14:solidFill>
          </w14:textFill>
        </w:rPr>
        <w:t xml:space="preserve">          </w:t>
      </w:r>
      <w:r>
        <w:rPr>
          <w:rFonts w:hint="eastAsia" w:ascii="微软雅黑" w:hAnsi="微软雅黑" w:eastAsia="微软雅黑" w:cs="微软雅黑"/>
          <w:b w:val="0"/>
          <w:bCs/>
          <w:color w:val="000000" w:themeColor="text1"/>
          <w:kern w:val="0"/>
          <w:sz w:val="21"/>
          <w:szCs w:val="21"/>
          <w:lang w:val="zh-CN"/>
          <w14:textFill>
            <w14:solidFill>
              <w14:schemeClr w14:val="tx1"/>
            </w14:solidFill>
          </w14:textFill>
        </w:rPr>
        <w:t>价格确定，综合费用包含产品装吊、捆扎、运输、中转、仓储等到达交货地点前的所有运杂费、保险费、出库费、利润等一切费用。</w:t>
      </w:r>
    </w:p>
    <w:p>
      <w:pPr>
        <w:spacing w:line="240" w:lineRule="auto"/>
        <w:ind w:firstLine="525" w:firstLineChars="250"/>
        <w:rPr>
          <w:rFonts w:hint="eastAsia" w:ascii="微软雅黑" w:hAnsi="微软雅黑" w:eastAsia="微软雅黑" w:cs="微软雅黑"/>
          <w:b w:val="0"/>
          <w:bCs/>
          <w:color w:val="000000" w:themeColor="text1"/>
          <w:kern w:val="18"/>
          <w:sz w:val="21"/>
          <w:szCs w:val="21"/>
          <w14:textFill>
            <w14:solidFill>
              <w14:schemeClr w14:val="tx1"/>
            </w14:solidFill>
          </w14:textFill>
        </w:rPr>
      </w:pPr>
      <w:r>
        <w:rPr>
          <w:rFonts w:hint="eastAsia" w:ascii="微软雅黑" w:hAnsi="微软雅黑" w:eastAsia="微软雅黑" w:cs="微软雅黑"/>
          <w:b w:val="0"/>
          <w:bCs/>
          <w:color w:val="000000" w:themeColor="text1"/>
          <w:kern w:val="18"/>
          <w:sz w:val="21"/>
          <w:szCs w:val="21"/>
          <w14:textFill>
            <w14:solidFill>
              <w14:schemeClr w14:val="tx1"/>
            </w14:solidFill>
          </w14:textFill>
        </w:rPr>
        <w:t>（提示：基准价根据实际情况约定，如约定中标价、我的钢铁网、中国发改委价格信息网或当地市场建筑钢材价格网等当期价格确定）</w:t>
      </w:r>
    </w:p>
    <w:p>
      <w:pPr>
        <w:spacing w:line="240" w:lineRule="auto"/>
        <w:ind w:firstLine="420" w:firstLineChars="200"/>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kern w:val="0"/>
          <w:sz w:val="21"/>
          <w:szCs w:val="21"/>
          <w14:textFill>
            <w14:solidFill>
              <w14:schemeClr w14:val="tx1"/>
            </w14:solidFill>
          </w14:textFill>
        </w:rPr>
        <w:t>1.3上述数量为暂定量，甲方可根据实际需要进行数量增减。甲方减少数量的，不属于违约；甲方增加数量的，乙方应按合同其他条款执行。</w:t>
      </w:r>
      <w:r>
        <w:rPr>
          <w:rFonts w:hint="eastAsia" w:ascii="微软雅黑" w:hAnsi="微软雅黑" w:eastAsia="微软雅黑" w:cs="微软雅黑"/>
          <w:b w:val="0"/>
          <w:bCs/>
          <w:color w:val="000000" w:themeColor="text1"/>
          <w:sz w:val="21"/>
          <w:szCs w:val="21"/>
          <w14:textFill>
            <w14:solidFill>
              <w14:schemeClr w14:val="tx1"/>
            </w14:solidFill>
          </w14:textFill>
        </w:rPr>
        <w:t>结算</w:t>
      </w:r>
      <w:r>
        <w:rPr>
          <w:rFonts w:hint="eastAsia" w:ascii="微软雅黑" w:hAnsi="微软雅黑" w:eastAsia="微软雅黑" w:cs="微软雅黑"/>
          <w:b w:val="0"/>
          <w:bCs/>
          <w:color w:val="000000" w:themeColor="text1"/>
          <w:kern w:val="0"/>
          <w:sz w:val="21"/>
          <w:szCs w:val="21"/>
          <w14:textFill>
            <w14:solidFill>
              <w14:schemeClr w14:val="tx1"/>
            </w14:solidFill>
          </w14:textFill>
        </w:rPr>
        <w:t>以本合同第7.2条为准。</w:t>
      </w:r>
    </w:p>
    <w:p>
      <w:pPr>
        <w:keepNext/>
        <w:keepLines/>
        <w:spacing w:line="240" w:lineRule="auto"/>
        <w:outlineLvl w:val="0"/>
        <w:rPr>
          <w:rFonts w:hint="eastAsia" w:ascii="微软雅黑" w:hAnsi="微软雅黑" w:eastAsia="微软雅黑" w:cs="微软雅黑"/>
          <w:b w:val="0"/>
          <w:bCs/>
          <w:color w:val="000000" w:themeColor="text1"/>
          <w:kern w:val="44"/>
          <w:sz w:val="21"/>
          <w:szCs w:val="21"/>
          <w14:textFill>
            <w14:solidFill>
              <w14:schemeClr w14:val="tx1"/>
            </w14:solidFill>
          </w14:textFill>
        </w:rPr>
      </w:pPr>
      <w:r>
        <w:rPr>
          <w:rFonts w:hint="eastAsia" w:ascii="微软雅黑" w:hAnsi="微软雅黑" w:eastAsia="微软雅黑" w:cs="微软雅黑"/>
          <w:b w:val="0"/>
          <w:bCs/>
          <w:color w:val="000000" w:themeColor="text1"/>
          <w:kern w:val="44"/>
          <w:sz w:val="21"/>
          <w:szCs w:val="21"/>
          <w14:textFill>
            <w14:solidFill>
              <w14:schemeClr w14:val="tx1"/>
            </w14:solidFill>
          </w14:textFill>
        </w:rPr>
        <w:t xml:space="preserve">    第二条 合同履行期限</w:t>
      </w:r>
    </w:p>
    <w:p>
      <w:pPr>
        <w:spacing w:line="240" w:lineRule="auto"/>
        <w:ind w:firstLine="420" w:firstLineChars="200"/>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自</w:t>
      </w:r>
      <w:r>
        <w:rPr>
          <w:rFonts w:hint="eastAsia" w:ascii="微软雅黑" w:hAnsi="微软雅黑" w:eastAsia="微软雅黑" w:cs="微软雅黑"/>
          <w:b w:val="0"/>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sz w:val="21"/>
          <w:szCs w:val="21"/>
          <w14:textFill>
            <w14:solidFill>
              <w14:schemeClr w14:val="tx1"/>
            </w14:solidFill>
          </w14:textFill>
        </w:rPr>
        <w:t>年</w:t>
      </w:r>
      <w:r>
        <w:rPr>
          <w:rFonts w:hint="eastAsia" w:ascii="微软雅黑" w:hAnsi="微软雅黑" w:eastAsia="微软雅黑" w:cs="微软雅黑"/>
          <w:b w:val="0"/>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sz w:val="21"/>
          <w:szCs w:val="21"/>
          <w14:textFill>
            <w14:solidFill>
              <w14:schemeClr w14:val="tx1"/>
            </w14:solidFill>
          </w14:textFill>
        </w:rPr>
        <w:t>月</w:t>
      </w:r>
      <w:r>
        <w:rPr>
          <w:rFonts w:hint="eastAsia" w:ascii="微软雅黑" w:hAnsi="微软雅黑" w:eastAsia="微软雅黑" w:cs="微软雅黑"/>
          <w:b w:val="0"/>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sz w:val="21"/>
          <w:szCs w:val="21"/>
          <w14:textFill>
            <w14:solidFill>
              <w14:schemeClr w14:val="tx1"/>
            </w14:solidFill>
          </w14:textFill>
        </w:rPr>
        <w:t>日至</w:t>
      </w:r>
      <w:r>
        <w:rPr>
          <w:rFonts w:hint="eastAsia" w:ascii="微软雅黑" w:hAnsi="微软雅黑" w:eastAsia="微软雅黑" w:cs="微软雅黑"/>
          <w:b w:val="0"/>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sz w:val="21"/>
          <w:szCs w:val="21"/>
          <w14:textFill>
            <w14:solidFill>
              <w14:schemeClr w14:val="tx1"/>
            </w14:solidFill>
          </w14:textFill>
        </w:rPr>
        <w:t>年</w:t>
      </w:r>
      <w:r>
        <w:rPr>
          <w:rFonts w:hint="eastAsia" w:ascii="微软雅黑" w:hAnsi="微软雅黑" w:eastAsia="微软雅黑" w:cs="微软雅黑"/>
          <w:b w:val="0"/>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sz w:val="21"/>
          <w:szCs w:val="21"/>
          <w14:textFill>
            <w14:solidFill>
              <w14:schemeClr w14:val="tx1"/>
            </w14:solidFill>
          </w14:textFill>
        </w:rPr>
        <w:t>月</w:t>
      </w:r>
      <w:r>
        <w:rPr>
          <w:rFonts w:hint="eastAsia" w:ascii="微软雅黑" w:hAnsi="微软雅黑" w:eastAsia="微软雅黑" w:cs="微软雅黑"/>
          <w:b w:val="0"/>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sz w:val="21"/>
          <w:szCs w:val="21"/>
          <w14:textFill>
            <w14:solidFill>
              <w14:schemeClr w14:val="tx1"/>
            </w14:solidFill>
          </w14:textFill>
        </w:rPr>
        <w:t>日；该期限为暂定期限，甲方有权根据施工需要单方调整合同履行期限，但应提前</w:t>
      </w:r>
      <w:r>
        <w:rPr>
          <w:rFonts w:hint="eastAsia" w:ascii="微软雅黑" w:hAnsi="微软雅黑" w:eastAsia="微软雅黑" w:cs="微软雅黑"/>
          <w:b w:val="0"/>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sz w:val="21"/>
          <w:szCs w:val="21"/>
          <w14:textFill>
            <w14:solidFill>
              <w14:schemeClr w14:val="tx1"/>
            </w14:solidFill>
          </w14:textFill>
        </w:rPr>
        <w:t>日通知乙方。</w:t>
      </w:r>
    </w:p>
    <w:p>
      <w:pPr>
        <w:keepNext/>
        <w:keepLines/>
        <w:spacing w:line="240" w:lineRule="auto"/>
        <w:outlineLvl w:val="0"/>
        <w:rPr>
          <w:rFonts w:hint="eastAsia" w:ascii="微软雅黑" w:hAnsi="微软雅黑" w:eastAsia="微软雅黑" w:cs="微软雅黑"/>
          <w:b w:val="0"/>
          <w:bCs/>
          <w:color w:val="000000" w:themeColor="text1"/>
          <w:kern w:val="0"/>
          <w:sz w:val="21"/>
          <w:szCs w:val="21"/>
          <w14:textFill>
            <w14:solidFill>
              <w14:schemeClr w14:val="tx1"/>
            </w14:solidFill>
          </w14:textFill>
        </w:rPr>
      </w:pPr>
      <w:r>
        <w:rPr>
          <w:rFonts w:hint="eastAsia" w:ascii="微软雅黑" w:hAnsi="微软雅黑" w:eastAsia="微软雅黑" w:cs="微软雅黑"/>
          <w:b w:val="0"/>
          <w:bCs/>
          <w:color w:val="000000" w:themeColor="text1"/>
          <w:kern w:val="44"/>
          <w:sz w:val="21"/>
          <w:szCs w:val="21"/>
          <w14:textFill>
            <w14:solidFill>
              <w14:schemeClr w14:val="tx1"/>
            </w14:solidFill>
          </w14:textFill>
        </w:rPr>
        <w:t xml:space="preserve">    第三条 质量标准：</w:t>
      </w:r>
      <w:r>
        <w:rPr>
          <w:rFonts w:hint="eastAsia" w:ascii="微软雅黑" w:hAnsi="微软雅黑" w:eastAsia="微软雅黑" w:cs="微软雅黑"/>
          <w:b w:val="0"/>
          <w:bCs/>
          <w:color w:val="000000" w:themeColor="text1"/>
          <w:kern w:val="0"/>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kern w:val="0"/>
          <w:sz w:val="21"/>
          <w:szCs w:val="21"/>
          <w14:textFill>
            <w14:solidFill>
              <w14:schemeClr w14:val="tx1"/>
            </w14:solidFill>
          </w14:textFill>
        </w:rPr>
        <w:t>。</w:t>
      </w:r>
    </w:p>
    <w:p>
      <w:pPr>
        <w:spacing w:line="240" w:lineRule="auto"/>
        <w:ind w:firstLine="420" w:firstLineChars="200"/>
        <w:rPr>
          <w:rFonts w:hint="eastAsia" w:ascii="微软雅黑" w:hAnsi="微软雅黑" w:eastAsia="微软雅黑" w:cs="微软雅黑"/>
          <w:b w:val="0"/>
          <w:bCs/>
          <w:color w:val="000000" w:themeColor="text1"/>
          <w:kern w:val="18"/>
          <w:sz w:val="21"/>
          <w:szCs w:val="21"/>
          <w14:textFill>
            <w14:solidFill>
              <w14:schemeClr w14:val="tx1"/>
            </w14:solidFill>
          </w14:textFill>
        </w:rPr>
      </w:pPr>
      <w:r>
        <w:rPr>
          <w:rFonts w:hint="eastAsia" w:ascii="微软雅黑" w:hAnsi="微软雅黑" w:eastAsia="微软雅黑" w:cs="微软雅黑"/>
          <w:b w:val="0"/>
          <w:bCs/>
          <w:color w:val="000000" w:themeColor="text1"/>
          <w:kern w:val="18"/>
          <w:sz w:val="21"/>
          <w:szCs w:val="21"/>
          <w14:textFill>
            <w14:solidFill>
              <w14:schemeClr w14:val="tx1"/>
            </w14:solidFill>
          </w14:textFill>
        </w:rPr>
        <w:t>（提示：按国家现行标准执行，如约定螺纹钢GB1499.2-2007, 盘条圆钢/高线GB1499.1-2008及相关国家标准等）</w:t>
      </w:r>
    </w:p>
    <w:p>
      <w:pPr>
        <w:keepNext/>
        <w:keepLines/>
        <w:spacing w:line="240" w:lineRule="auto"/>
        <w:outlineLvl w:val="0"/>
        <w:rPr>
          <w:rFonts w:hint="eastAsia" w:ascii="微软雅黑" w:hAnsi="微软雅黑" w:eastAsia="微软雅黑" w:cs="微软雅黑"/>
          <w:b w:val="0"/>
          <w:bCs/>
          <w:color w:val="000000" w:themeColor="text1"/>
          <w:kern w:val="44"/>
          <w:sz w:val="21"/>
          <w:szCs w:val="21"/>
          <w14:textFill>
            <w14:solidFill>
              <w14:schemeClr w14:val="tx1"/>
            </w14:solidFill>
          </w14:textFill>
        </w:rPr>
      </w:pPr>
      <w:r>
        <w:rPr>
          <w:rFonts w:hint="eastAsia" w:ascii="微软雅黑" w:hAnsi="微软雅黑" w:eastAsia="微软雅黑" w:cs="微软雅黑"/>
          <w:b w:val="0"/>
          <w:bCs/>
          <w:color w:val="000000" w:themeColor="text1"/>
          <w:kern w:val="44"/>
          <w:sz w:val="21"/>
          <w:szCs w:val="21"/>
          <w14:textFill>
            <w14:solidFill>
              <w14:schemeClr w14:val="tx1"/>
            </w14:solidFill>
          </w14:textFill>
        </w:rPr>
        <w:t xml:space="preserve">    第四条 计量方法</w:t>
      </w:r>
    </w:p>
    <w:p>
      <w:pPr>
        <w:widowControl/>
        <w:tabs>
          <w:tab w:val="left" w:pos="8364"/>
        </w:tabs>
        <w:spacing w:line="240" w:lineRule="auto"/>
        <w:ind w:firstLine="420" w:firstLineChars="200"/>
        <w:rPr>
          <w:rFonts w:hint="eastAsia" w:ascii="微软雅黑" w:hAnsi="微软雅黑" w:eastAsia="微软雅黑" w:cs="微软雅黑"/>
          <w:b w:val="0"/>
          <w:bCs/>
          <w:color w:val="000000" w:themeColor="text1"/>
          <w:kern w:val="0"/>
          <w:sz w:val="21"/>
          <w:szCs w:val="21"/>
          <w14:textFill>
            <w14:solidFill>
              <w14:schemeClr w14:val="tx1"/>
            </w14:solidFill>
          </w14:textFill>
        </w:rPr>
      </w:pPr>
      <w:r>
        <w:rPr>
          <w:rFonts w:hint="eastAsia" w:ascii="微软雅黑" w:hAnsi="微软雅黑" w:eastAsia="微软雅黑" w:cs="微软雅黑"/>
          <w:b w:val="0"/>
          <w:bCs/>
          <w:color w:val="000000" w:themeColor="text1"/>
          <w:kern w:val="0"/>
          <w:sz w:val="21"/>
          <w:szCs w:val="21"/>
          <w14:textFill>
            <w14:solidFill>
              <w14:schemeClr w14:val="tx1"/>
            </w14:solidFill>
          </w14:textFill>
        </w:rPr>
        <w:t xml:space="preserve">4.1 </w:t>
      </w:r>
      <w:r>
        <w:rPr>
          <w:rFonts w:hint="eastAsia" w:ascii="微软雅黑" w:hAnsi="微软雅黑" w:eastAsia="微软雅黑" w:cs="微软雅黑"/>
          <w:b w:val="0"/>
          <w:bCs/>
          <w:color w:val="000000" w:themeColor="text1"/>
          <w:kern w:val="0"/>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kern w:val="0"/>
          <w:sz w:val="21"/>
          <w:szCs w:val="21"/>
          <w14:textFill>
            <w14:solidFill>
              <w14:schemeClr w14:val="tx1"/>
            </w14:solidFill>
          </w14:textFill>
        </w:rPr>
        <w:t>按理论重量结算；</w:t>
      </w:r>
    </w:p>
    <w:p>
      <w:pPr>
        <w:widowControl/>
        <w:tabs>
          <w:tab w:val="left" w:pos="8364"/>
        </w:tabs>
        <w:spacing w:line="240" w:lineRule="auto"/>
        <w:ind w:firstLine="420" w:firstLineChars="200"/>
        <w:rPr>
          <w:rFonts w:hint="eastAsia" w:ascii="微软雅黑" w:hAnsi="微软雅黑" w:eastAsia="微软雅黑" w:cs="微软雅黑"/>
          <w:b w:val="0"/>
          <w:bCs/>
          <w:color w:val="000000" w:themeColor="text1"/>
          <w:kern w:val="0"/>
          <w:sz w:val="21"/>
          <w:szCs w:val="21"/>
          <w14:textFill>
            <w14:solidFill>
              <w14:schemeClr w14:val="tx1"/>
            </w14:solidFill>
          </w14:textFill>
        </w:rPr>
      </w:pPr>
      <w:r>
        <w:rPr>
          <w:rFonts w:hint="eastAsia" w:ascii="微软雅黑" w:hAnsi="微软雅黑" w:eastAsia="微软雅黑" w:cs="微软雅黑"/>
          <w:b w:val="0"/>
          <w:bCs/>
          <w:color w:val="000000" w:themeColor="text1"/>
          <w:kern w:val="0"/>
          <w:sz w:val="21"/>
          <w:szCs w:val="21"/>
          <w14:textFill>
            <w14:solidFill>
              <w14:schemeClr w14:val="tx1"/>
            </w14:solidFill>
          </w14:textFill>
        </w:rPr>
        <w:t xml:space="preserve">4.2 </w:t>
      </w:r>
      <w:r>
        <w:rPr>
          <w:rFonts w:hint="eastAsia" w:ascii="微软雅黑" w:hAnsi="微软雅黑" w:eastAsia="微软雅黑" w:cs="微软雅黑"/>
          <w:b w:val="0"/>
          <w:bCs/>
          <w:color w:val="000000" w:themeColor="text1"/>
          <w:kern w:val="0"/>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kern w:val="0"/>
          <w:sz w:val="21"/>
          <w:szCs w:val="21"/>
          <w14:textFill>
            <w14:solidFill>
              <w14:schemeClr w14:val="tx1"/>
            </w14:solidFill>
          </w14:textFill>
        </w:rPr>
        <w:t>按过磅重量结算；</w:t>
      </w:r>
    </w:p>
    <w:p>
      <w:pPr>
        <w:widowControl/>
        <w:tabs>
          <w:tab w:val="left" w:pos="8364"/>
        </w:tabs>
        <w:spacing w:line="240" w:lineRule="auto"/>
        <w:ind w:firstLine="420" w:firstLineChars="200"/>
        <w:rPr>
          <w:rFonts w:hint="eastAsia" w:ascii="微软雅黑" w:hAnsi="微软雅黑" w:eastAsia="微软雅黑" w:cs="微软雅黑"/>
          <w:b w:val="0"/>
          <w:bCs/>
          <w:color w:val="000000" w:themeColor="text1"/>
          <w:kern w:val="0"/>
          <w:sz w:val="21"/>
          <w:szCs w:val="21"/>
          <w14:textFill>
            <w14:solidFill>
              <w14:schemeClr w14:val="tx1"/>
            </w14:solidFill>
          </w14:textFill>
        </w:rPr>
      </w:pPr>
      <w:r>
        <w:rPr>
          <w:rFonts w:hint="eastAsia" w:ascii="微软雅黑" w:hAnsi="微软雅黑" w:eastAsia="微软雅黑" w:cs="微软雅黑"/>
          <w:b w:val="0"/>
          <w:bCs/>
          <w:color w:val="000000" w:themeColor="text1"/>
          <w:kern w:val="0"/>
          <w:sz w:val="21"/>
          <w:szCs w:val="21"/>
          <w14:textFill>
            <w14:solidFill>
              <w14:schemeClr w14:val="tx1"/>
            </w14:solidFill>
          </w14:textFill>
        </w:rPr>
        <w:t>以上计量方式中材料公差应在国家标准要求范围之内。</w:t>
      </w:r>
    </w:p>
    <w:p>
      <w:pPr>
        <w:spacing w:line="240" w:lineRule="auto"/>
        <w:ind w:firstLine="420" w:firstLineChars="200"/>
        <w:rPr>
          <w:rFonts w:hint="eastAsia" w:ascii="微软雅黑" w:hAnsi="微软雅黑" w:eastAsia="微软雅黑" w:cs="微软雅黑"/>
          <w:b w:val="0"/>
          <w:bCs/>
          <w:color w:val="000000" w:themeColor="text1"/>
          <w:kern w:val="18"/>
          <w:sz w:val="21"/>
          <w:szCs w:val="21"/>
          <w14:textFill>
            <w14:solidFill>
              <w14:schemeClr w14:val="tx1"/>
            </w14:solidFill>
          </w14:textFill>
        </w:rPr>
      </w:pPr>
      <w:r>
        <w:rPr>
          <w:rFonts w:hint="eastAsia" w:ascii="微软雅黑" w:hAnsi="微软雅黑" w:eastAsia="微软雅黑" w:cs="微软雅黑"/>
          <w:b w:val="0"/>
          <w:bCs/>
          <w:color w:val="000000" w:themeColor="text1"/>
          <w:kern w:val="18"/>
          <w:sz w:val="21"/>
          <w:szCs w:val="21"/>
          <w14:textFill>
            <w14:solidFill>
              <w14:schemeClr w14:val="tx1"/>
            </w14:solidFill>
          </w14:textFill>
        </w:rPr>
        <w:t>（提示：应约定明确，如螺纹钢、圆钢、型材按照理论计量，高线以过磅实际重量计量等）</w:t>
      </w:r>
    </w:p>
    <w:p>
      <w:pPr>
        <w:keepNext/>
        <w:keepLines/>
        <w:spacing w:line="240" w:lineRule="auto"/>
        <w:outlineLvl w:val="0"/>
        <w:rPr>
          <w:rFonts w:hint="eastAsia" w:ascii="微软雅黑" w:hAnsi="微软雅黑" w:eastAsia="微软雅黑" w:cs="微软雅黑"/>
          <w:b w:val="0"/>
          <w:bCs/>
          <w:color w:val="000000" w:themeColor="text1"/>
          <w:kern w:val="44"/>
          <w:sz w:val="21"/>
          <w:szCs w:val="21"/>
          <w14:textFill>
            <w14:solidFill>
              <w14:schemeClr w14:val="tx1"/>
            </w14:solidFill>
          </w14:textFill>
        </w:rPr>
      </w:pPr>
      <w:r>
        <w:rPr>
          <w:rFonts w:hint="eastAsia" w:ascii="微软雅黑" w:hAnsi="微软雅黑" w:eastAsia="微软雅黑" w:cs="微软雅黑"/>
          <w:b w:val="0"/>
          <w:bCs/>
          <w:color w:val="000000" w:themeColor="text1"/>
          <w:kern w:val="44"/>
          <w:sz w:val="21"/>
          <w:szCs w:val="21"/>
          <w14:textFill>
            <w14:solidFill>
              <w14:schemeClr w14:val="tx1"/>
            </w14:solidFill>
          </w14:textFill>
        </w:rPr>
        <w:t xml:space="preserve">    第五条 交货时间及方式</w:t>
      </w:r>
    </w:p>
    <w:p>
      <w:pPr>
        <w:spacing w:line="240" w:lineRule="auto"/>
        <w:ind w:firstLine="420" w:firstLineChars="200"/>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5.1 交货时间：乙方收到甲方的供货计划通知后，应根据甲方的要求    日内将货物送到甲方指定交货地点。</w:t>
      </w:r>
    </w:p>
    <w:p>
      <w:pPr>
        <w:widowControl/>
        <w:tabs>
          <w:tab w:val="left" w:pos="8364"/>
        </w:tabs>
        <w:spacing w:line="240" w:lineRule="auto"/>
        <w:ind w:firstLine="420" w:firstLineChars="200"/>
        <w:rPr>
          <w:rFonts w:hint="eastAsia" w:ascii="微软雅黑" w:hAnsi="微软雅黑" w:eastAsia="微软雅黑" w:cs="微软雅黑"/>
          <w:b w:val="0"/>
          <w:bCs/>
          <w:color w:val="000000" w:themeColor="text1"/>
          <w:kern w:val="0"/>
          <w:sz w:val="21"/>
          <w:szCs w:val="21"/>
          <w14:textFill>
            <w14:solidFill>
              <w14:schemeClr w14:val="tx1"/>
            </w14:solidFill>
          </w14:textFill>
        </w:rPr>
      </w:pPr>
      <w:r>
        <w:rPr>
          <w:rFonts w:hint="eastAsia" w:ascii="微软雅黑" w:hAnsi="微软雅黑" w:eastAsia="微软雅黑" w:cs="微软雅黑"/>
          <w:b w:val="0"/>
          <w:bCs/>
          <w:color w:val="000000" w:themeColor="text1"/>
          <w:kern w:val="0"/>
          <w:sz w:val="21"/>
          <w:szCs w:val="21"/>
          <w14:textFill>
            <w14:solidFill>
              <w14:schemeClr w14:val="tx1"/>
            </w14:solidFill>
          </w14:textFill>
        </w:rPr>
        <w:t>5.2 交货地点：</w:t>
      </w:r>
      <w:r>
        <w:rPr>
          <w:rFonts w:hint="eastAsia" w:ascii="微软雅黑" w:hAnsi="微软雅黑" w:eastAsia="微软雅黑" w:cs="微软雅黑"/>
          <w:b w:val="0"/>
          <w:bCs/>
          <w:color w:val="000000" w:themeColor="text1"/>
          <w:kern w:val="0"/>
          <w:sz w:val="21"/>
          <w:szCs w:val="21"/>
          <w:u w:val="single"/>
          <w14:textFill>
            <w14:solidFill>
              <w14:schemeClr w14:val="tx1"/>
            </w14:solidFill>
          </w14:textFill>
        </w:rPr>
        <w:t xml:space="preserve">乙方运输至甲方指定地点交货，运输费用由乙方承担     </w:t>
      </w:r>
      <w:r>
        <w:rPr>
          <w:rFonts w:hint="eastAsia" w:ascii="微软雅黑" w:hAnsi="微软雅黑" w:eastAsia="微软雅黑" w:cs="微软雅黑"/>
          <w:b w:val="0"/>
          <w:bCs/>
          <w:color w:val="000000" w:themeColor="text1"/>
          <w:kern w:val="0"/>
          <w:sz w:val="21"/>
          <w:szCs w:val="21"/>
          <w14:textFill>
            <w14:solidFill>
              <w14:schemeClr w14:val="tx1"/>
            </w14:solidFill>
          </w14:textFill>
        </w:rPr>
        <w:t>。</w:t>
      </w:r>
      <w:r>
        <w:rPr>
          <w:rFonts w:hint="eastAsia" w:ascii="微软雅黑" w:hAnsi="微软雅黑" w:eastAsia="微软雅黑" w:cs="微软雅黑"/>
          <w:b w:val="0"/>
          <w:bCs/>
          <w:color w:val="000000" w:themeColor="text1"/>
          <w:sz w:val="21"/>
          <w:szCs w:val="21"/>
          <w14:textFill>
            <w14:solidFill>
              <w14:schemeClr w14:val="tx1"/>
            </w14:solidFill>
          </w14:textFill>
        </w:rPr>
        <w:t>货物未交付甲方前，灭失、损毁风险由乙方承担。</w:t>
      </w:r>
    </w:p>
    <w:p>
      <w:pPr>
        <w:spacing w:line="240" w:lineRule="auto"/>
        <w:ind w:firstLine="420" w:firstLineChars="200"/>
        <w:rPr>
          <w:rFonts w:hint="eastAsia" w:ascii="微软雅黑" w:hAnsi="微软雅黑" w:eastAsia="微软雅黑" w:cs="微软雅黑"/>
          <w:b w:val="0"/>
          <w:bCs/>
          <w:color w:val="000000" w:themeColor="text1"/>
          <w:kern w:val="18"/>
          <w:sz w:val="21"/>
          <w:szCs w:val="21"/>
          <w14:textFill>
            <w14:solidFill>
              <w14:schemeClr w14:val="tx1"/>
            </w14:solidFill>
          </w14:textFill>
        </w:rPr>
      </w:pPr>
      <w:r>
        <w:rPr>
          <w:rFonts w:hint="eastAsia" w:ascii="微软雅黑" w:hAnsi="微软雅黑" w:eastAsia="微软雅黑" w:cs="微软雅黑"/>
          <w:b w:val="0"/>
          <w:bCs/>
          <w:color w:val="000000" w:themeColor="text1"/>
          <w:kern w:val="18"/>
          <w:sz w:val="21"/>
          <w:szCs w:val="21"/>
          <w14:textFill>
            <w14:solidFill>
              <w14:schemeClr w14:val="tx1"/>
            </w14:solidFill>
          </w14:textFill>
        </w:rPr>
        <w:t>（提示：地点约定应具体详细，如供货地点较多或签订合同时尚未确定，建议约定地点以甲方通知为准）</w:t>
      </w:r>
    </w:p>
    <w:p>
      <w:pPr>
        <w:spacing w:line="240" w:lineRule="auto"/>
        <w:ind w:firstLine="420" w:firstLineChars="200"/>
        <w:rPr>
          <w:rFonts w:hint="eastAsia" w:ascii="微软雅黑" w:hAnsi="微软雅黑" w:eastAsia="微软雅黑" w:cs="微软雅黑"/>
          <w:b w:val="0"/>
          <w:bCs/>
          <w:color w:val="000000" w:themeColor="text1"/>
          <w:kern w:val="0"/>
          <w:sz w:val="21"/>
          <w:szCs w:val="21"/>
          <w14:textFill>
            <w14:solidFill>
              <w14:schemeClr w14:val="tx1"/>
            </w14:solidFill>
          </w14:textFill>
        </w:rPr>
      </w:pPr>
      <w:r>
        <w:rPr>
          <w:rFonts w:hint="eastAsia" w:ascii="微软雅黑" w:hAnsi="微软雅黑" w:eastAsia="微软雅黑" w:cs="微软雅黑"/>
          <w:b w:val="0"/>
          <w:bCs/>
          <w:color w:val="000000" w:themeColor="text1"/>
          <w:kern w:val="0"/>
          <w:sz w:val="21"/>
          <w:szCs w:val="21"/>
          <w14:textFill>
            <w14:solidFill>
              <w14:schemeClr w14:val="tx1"/>
            </w14:solidFill>
          </w14:textFill>
        </w:rPr>
        <w:t>5.3</w:t>
      </w:r>
      <w:r>
        <w:rPr>
          <w:rFonts w:hint="eastAsia" w:ascii="微软雅黑" w:hAnsi="微软雅黑" w:eastAsia="微软雅黑" w:cs="微软雅黑"/>
          <w:b w:val="0"/>
          <w:bCs/>
          <w:color w:val="000000" w:themeColor="text1"/>
          <w:sz w:val="21"/>
          <w:szCs w:val="21"/>
          <w14:textFill>
            <w14:solidFill>
              <w14:schemeClr w14:val="tx1"/>
            </w14:solidFill>
          </w14:textFill>
        </w:rPr>
        <w:t>运输方式：</w:t>
      </w:r>
      <w:r>
        <w:rPr>
          <w:rFonts w:hint="eastAsia" w:ascii="微软雅黑" w:hAnsi="微软雅黑" w:eastAsia="微软雅黑" w:cs="微软雅黑"/>
          <w:b w:val="0"/>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sz w:val="21"/>
          <w:szCs w:val="21"/>
          <w14:textFill>
            <w14:solidFill>
              <w14:schemeClr w14:val="tx1"/>
            </w14:solidFill>
          </w14:textFill>
        </w:rPr>
        <w:t xml:space="preserve"> 。卸货由</w:t>
      </w:r>
      <w:r>
        <w:rPr>
          <w:rFonts w:hint="eastAsia" w:ascii="微软雅黑" w:hAnsi="微软雅黑" w:eastAsia="微软雅黑" w:cs="微软雅黑"/>
          <w:b w:val="0"/>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sz w:val="21"/>
          <w:szCs w:val="21"/>
          <w14:textFill>
            <w14:solidFill>
              <w14:schemeClr w14:val="tx1"/>
            </w14:solidFill>
          </w14:textFill>
        </w:rPr>
        <w:t>方负责，卸货费用由</w:t>
      </w:r>
      <w:r>
        <w:rPr>
          <w:rFonts w:hint="eastAsia" w:ascii="微软雅黑" w:hAnsi="微软雅黑" w:eastAsia="微软雅黑" w:cs="微软雅黑"/>
          <w:b w:val="0"/>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sz w:val="21"/>
          <w:szCs w:val="21"/>
          <w14:textFill>
            <w14:solidFill>
              <w14:schemeClr w14:val="tx1"/>
            </w14:solidFill>
          </w14:textFill>
        </w:rPr>
        <w:t>方承担。</w:t>
      </w:r>
    </w:p>
    <w:p>
      <w:pPr>
        <w:widowControl/>
        <w:tabs>
          <w:tab w:val="left" w:pos="8364"/>
        </w:tabs>
        <w:spacing w:line="240" w:lineRule="auto"/>
        <w:ind w:firstLine="420" w:firstLineChars="200"/>
        <w:rPr>
          <w:rFonts w:hint="eastAsia" w:ascii="微软雅黑" w:hAnsi="微软雅黑" w:eastAsia="微软雅黑" w:cs="微软雅黑"/>
          <w:b w:val="0"/>
          <w:bCs/>
          <w:color w:val="000000" w:themeColor="text1"/>
          <w:kern w:val="0"/>
          <w:sz w:val="21"/>
          <w:szCs w:val="21"/>
          <w14:textFill>
            <w14:solidFill>
              <w14:schemeClr w14:val="tx1"/>
            </w14:solidFill>
          </w14:textFill>
        </w:rPr>
      </w:pPr>
      <w:r>
        <w:rPr>
          <w:rFonts w:hint="eastAsia" w:ascii="微软雅黑" w:hAnsi="微软雅黑" w:eastAsia="微软雅黑" w:cs="微软雅黑"/>
          <w:b w:val="0"/>
          <w:bCs/>
          <w:color w:val="000000" w:themeColor="text1"/>
          <w:kern w:val="0"/>
          <w:sz w:val="21"/>
          <w:szCs w:val="21"/>
          <w14:textFill>
            <w14:solidFill>
              <w14:schemeClr w14:val="tx1"/>
            </w14:solidFill>
          </w14:textFill>
        </w:rPr>
        <w:t>5.4 包装方式：按照国家标准捆扎，包装不散捆，不回收。</w:t>
      </w:r>
    </w:p>
    <w:p>
      <w:pPr>
        <w:keepNext/>
        <w:keepLines/>
        <w:spacing w:line="240" w:lineRule="auto"/>
        <w:outlineLvl w:val="0"/>
        <w:rPr>
          <w:rFonts w:hint="eastAsia" w:ascii="微软雅黑" w:hAnsi="微软雅黑" w:eastAsia="微软雅黑" w:cs="微软雅黑"/>
          <w:b w:val="0"/>
          <w:bCs/>
          <w:color w:val="000000" w:themeColor="text1"/>
          <w:kern w:val="44"/>
          <w:sz w:val="21"/>
          <w:szCs w:val="21"/>
          <w14:textFill>
            <w14:solidFill>
              <w14:schemeClr w14:val="tx1"/>
            </w14:solidFill>
          </w14:textFill>
        </w:rPr>
      </w:pPr>
      <w:r>
        <w:rPr>
          <w:rFonts w:hint="eastAsia" w:ascii="微软雅黑" w:hAnsi="微软雅黑" w:eastAsia="微软雅黑" w:cs="微软雅黑"/>
          <w:b w:val="0"/>
          <w:bCs/>
          <w:color w:val="000000" w:themeColor="text1"/>
          <w:kern w:val="44"/>
          <w:sz w:val="21"/>
          <w:szCs w:val="21"/>
          <w14:textFill>
            <w14:solidFill>
              <w14:schemeClr w14:val="tx1"/>
            </w14:solidFill>
          </w14:textFill>
        </w:rPr>
        <w:t xml:space="preserve">    第六条 验收：</w:t>
      </w:r>
    </w:p>
    <w:p>
      <w:pPr>
        <w:widowControl/>
        <w:tabs>
          <w:tab w:val="left" w:pos="8364"/>
        </w:tabs>
        <w:spacing w:line="240" w:lineRule="auto"/>
        <w:ind w:firstLine="420" w:firstLineChars="200"/>
        <w:rPr>
          <w:rFonts w:hint="eastAsia" w:ascii="微软雅黑" w:hAnsi="微软雅黑" w:eastAsia="微软雅黑" w:cs="微软雅黑"/>
          <w:b w:val="0"/>
          <w:bCs/>
          <w:color w:val="000000" w:themeColor="text1"/>
          <w:kern w:val="0"/>
          <w:sz w:val="21"/>
          <w:szCs w:val="21"/>
          <w14:textFill>
            <w14:solidFill>
              <w14:schemeClr w14:val="tx1"/>
            </w14:solidFill>
          </w14:textFill>
        </w:rPr>
      </w:pPr>
      <w:r>
        <w:rPr>
          <w:rFonts w:hint="eastAsia" w:ascii="微软雅黑" w:hAnsi="微软雅黑" w:eastAsia="微软雅黑" w:cs="微软雅黑"/>
          <w:b w:val="0"/>
          <w:bCs/>
          <w:color w:val="000000" w:themeColor="text1"/>
          <w:kern w:val="0"/>
          <w:sz w:val="21"/>
          <w:szCs w:val="21"/>
          <w14:textFill>
            <w14:solidFill>
              <w14:schemeClr w14:val="tx1"/>
            </w14:solidFill>
          </w14:textFill>
        </w:rPr>
        <w:t>6.1 验收时间：</w:t>
      </w:r>
      <w:r>
        <w:rPr>
          <w:rFonts w:hint="eastAsia" w:ascii="微软雅黑" w:hAnsi="微软雅黑" w:eastAsia="微软雅黑" w:cs="微软雅黑"/>
          <w:b w:val="0"/>
          <w:bCs/>
          <w:color w:val="000000" w:themeColor="text1"/>
          <w:kern w:val="0"/>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kern w:val="0"/>
          <w:sz w:val="21"/>
          <w:szCs w:val="21"/>
          <w14:textFill>
            <w14:solidFill>
              <w14:schemeClr w14:val="tx1"/>
            </w14:solidFill>
          </w14:textFill>
        </w:rPr>
        <w:t>；验收地点：</w:t>
      </w:r>
      <w:r>
        <w:rPr>
          <w:rFonts w:hint="eastAsia" w:ascii="微软雅黑" w:hAnsi="微软雅黑" w:eastAsia="微软雅黑" w:cs="微软雅黑"/>
          <w:b w:val="0"/>
          <w:bCs/>
          <w:color w:val="000000" w:themeColor="text1"/>
          <w:kern w:val="0"/>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kern w:val="0"/>
          <w:sz w:val="21"/>
          <w:szCs w:val="21"/>
          <w14:textFill>
            <w14:solidFill>
              <w14:schemeClr w14:val="tx1"/>
            </w14:solidFill>
          </w14:textFill>
        </w:rPr>
        <w:t xml:space="preserve">。 </w:t>
      </w:r>
    </w:p>
    <w:p>
      <w:pPr>
        <w:spacing w:line="240" w:lineRule="auto"/>
        <w:ind w:firstLine="420" w:firstLineChars="200"/>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6.2 每批钢材的有效材质证明书等原件，应随货同行及时交到甲方收货人手里，必须确保质保书与钢材批号的对应。</w:t>
      </w:r>
    </w:p>
    <w:p>
      <w:pPr>
        <w:spacing w:line="240" w:lineRule="auto"/>
        <w:ind w:firstLine="420" w:firstLineChars="200"/>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 xml:space="preserve">6.3 每捆包装上至少须附有两个标签，清晰地标明生产厂家、钢材牌号、炉批号、规格、重量等。 </w:t>
      </w:r>
    </w:p>
    <w:p>
      <w:pPr>
        <w:spacing w:line="240" w:lineRule="auto"/>
        <w:ind w:firstLine="420" w:firstLineChars="200"/>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 xml:space="preserve">6.4 </w:t>
      </w:r>
      <w:r>
        <w:rPr>
          <w:rFonts w:hint="eastAsia" w:ascii="微软雅黑" w:hAnsi="微软雅黑" w:eastAsia="微软雅黑" w:cs="微软雅黑"/>
          <w:b w:val="0"/>
          <w:bCs/>
          <w:color w:val="000000" w:themeColor="text1"/>
          <w:spacing w:val="-2"/>
          <w:sz w:val="21"/>
          <w:szCs w:val="21"/>
          <w14:textFill>
            <w14:solidFill>
              <w14:schemeClr w14:val="tx1"/>
            </w14:solidFill>
          </w14:textFill>
        </w:rPr>
        <w:t>甲方有权随时检查乙方供货数量或重量，乙方应配合甲方的检查。</w:t>
      </w:r>
    </w:p>
    <w:p>
      <w:pPr>
        <w:spacing w:line="240" w:lineRule="auto"/>
        <w:ind w:firstLine="420" w:firstLineChars="200"/>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6.5 甲方有权对初步验收合格后的产品交检验部门检验，任何被检验的货物不能满足质量技术和规格要求，甲方有权要求对该批货品按照合同6.6条的约定进行处理，因此产生的费用和给甲方造成的损失均由乙方承担。</w:t>
      </w:r>
    </w:p>
    <w:p>
      <w:pPr>
        <w:spacing w:line="240" w:lineRule="auto"/>
        <w:ind w:firstLine="420" w:firstLineChars="200"/>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6.6 甲方如发现货物的品种、型号、规格和数量等不符合规定和合同约定的，应自收到货物后</w:t>
      </w:r>
      <w:r>
        <w:rPr>
          <w:rFonts w:hint="eastAsia" w:ascii="微软雅黑" w:hAnsi="微软雅黑" w:eastAsia="微软雅黑" w:cs="微软雅黑"/>
          <w:b w:val="0"/>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sz w:val="21"/>
          <w:szCs w:val="21"/>
          <w14:textFill>
            <w14:solidFill>
              <w14:schemeClr w14:val="tx1"/>
            </w14:solidFill>
          </w14:textFill>
        </w:rPr>
        <w:t>日内向乙方提出异议和处理意见，对产品质量的异议不受该时间限制，随时发现可随时提出异议和处理意见。乙方在接到甲方异议后，应在</w:t>
      </w:r>
      <w:r>
        <w:rPr>
          <w:rFonts w:hint="eastAsia" w:ascii="微软雅黑" w:hAnsi="微软雅黑" w:eastAsia="微软雅黑" w:cs="微软雅黑"/>
          <w:b w:val="0"/>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sz w:val="21"/>
          <w:szCs w:val="21"/>
          <w14:textFill>
            <w14:solidFill>
              <w14:schemeClr w14:val="tx1"/>
            </w14:solidFill>
          </w14:textFill>
        </w:rPr>
        <w:t>日内按照甲方要求负责处理,否则即视为违约，甲方有权自行处理，造成的损失由乙方自行承担。</w:t>
      </w:r>
    </w:p>
    <w:p>
      <w:pPr>
        <w:spacing w:line="240" w:lineRule="auto"/>
        <w:ind w:firstLine="420" w:firstLineChars="200"/>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kern w:val="18"/>
          <w:sz w:val="21"/>
          <w:szCs w:val="21"/>
          <w14:textFill>
            <w14:solidFill>
              <w14:schemeClr w14:val="tx1"/>
            </w14:solidFill>
          </w14:textFill>
        </w:rPr>
        <w:t>（提示：甲方提出的异议中，应明确不符合规定的产品名称、型号、规格、标志、牌号、批号、合格证或质量保证书号、数量、包装、检验方法、不符合情况及其检验证明；提出不符合规定的产品的处理意见，以及当事人双方商定的必须说明的事项）</w:t>
      </w:r>
    </w:p>
    <w:p>
      <w:pPr>
        <w:spacing w:line="240" w:lineRule="auto"/>
        <w:ind w:firstLine="420" w:firstLineChars="200"/>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6.7甲方指定</w:t>
      </w:r>
      <w:r>
        <w:rPr>
          <w:rFonts w:hint="eastAsia" w:ascii="微软雅黑" w:hAnsi="微软雅黑" w:eastAsia="微软雅黑" w:cs="微软雅黑"/>
          <w:b w:val="0"/>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sz w:val="21"/>
          <w:szCs w:val="21"/>
          <w14:textFill>
            <w14:solidFill>
              <w14:schemeClr w14:val="tx1"/>
            </w14:solidFill>
          </w14:textFill>
        </w:rPr>
        <w:t xml:space="preserve">负责材料的验收、签认；乙方指定 </w:t>
      </w:r>
      <w:r>
        <w:rPr>
          <w:rFonts w:hint="eastAsia" w:ascii="微软雅黑" w:hAnsi="微软雅黑" w:eastAsia="微软雅黑" w:cs="微软雅黑"/>
          <w:b w:val="0"/>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sz w:val="21"/>
          <w:szCs w:val="21"/>
          <w14:textFill>
            <w14:solidFill>
              <w14:schemeClr w14:val="tx1"/>
            </w14:solidFill>
          </w14:textFill>
        </w:rPr>
        <w:t xml:space="preserve"> 负责材料的交验、签认。甲方指定的上述人员是甲方唯一的收货代表，其在乙方送货清单上签字，作为乙方材料已到现场的证明，指定人员以外其他人员的验收、签认，对另一方不发生效力。一方指定人员发生变化时，应当及时告知对方，并自书面通知到达对方时产生效力。送货清单（或相应票据）中事先印刷的相关备注文字（双方验收人员签署的备注内容除外）内容不构成合同文件的组成部分。</w:t>
      </w:r>
    </w:p>
    <w:p>
      <w:pPr>
        <w:spacing w:line="240" w:lineRule="auto"/>
        <w:ind w:firstLine="420" w:firstLineChars="200"/>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 xml:space="preserve">甲方对材料的验收，并不视为免除乙方对产品质量和技术应负的责任。 </w:t>
      </w:r>
    </w:p>
    <w:p>
      <w:pPr>
        <w:spacing w:line="240" w:lineRule="auto"/>
        <w:ind w:firstLine="420" w:firstLineChars="200"/>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（提示：甲方可指定一至两名人员为收货代表）</w:t>
      </w:r>
    </w:p>
    <w:p>
      <w:pPr>
        <w:spacing w:line="240" w:lineRule="auto"/>
        <w:ind w:firstLine="420" w:firstLineChars="200"/>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6.8本合同约定货物的质保期为</w:t>
      </w:r>
      <w:r>
        <w:rPr>
          <w:rFonts w:hint="eastAsia" w:ascii="微软雅黑" w:hAnsi="微软雅黑" w:eastAsia="微软雅黑" w:cs="微软雅黑"/>
          <w:b w:val="0"/>
          <w:bCs/>
          <w:color w:val="000000" w:themeColor="text1"/>
          <w:sz w:val="21"/>
          <w:szCs w:val="21"/>
          <w:u w:val="single"/>
          <w14:textFill>
            <w14:solidFill>
              <w14:schemeClr w14:val="tx1"/>
            </w14:solidFill>
          </w14:textFill>
        </w:rPr>
        <w:t>12</w:t>
      </w:r>
      <w:r>
        <w:rPr>
          <w:rFonts w:hint="eastAsia" w:ascii="微软雅黑" w:hAnsi="微软雅黑" w:eastAsia="微软雅黑" w:cs="微软雅黑"/>
          <w:b w:val="0"/>
          <w:bCs/>
          <w:color w:val="000000" w:themeColor="text1"/>
          <w:sz w:val="21"/>
          <w:szCs w:val="21"/>
          <w14:textFill>
            <w14:solidFill>
              <w14:schemeClr w14:val="tx1"/>
            </w14:solidFill>
          </w14:textFill>
        </w:rPr>
        <w:t>月，自验收合格之日起计算。如果乙方对货物有另外承诺的质保期且与本合同约定不一致的，双方同意以期限较长的为准。</w:t>
      </w:r>
    </w:p>
    <w:p>
      <w:pPr>
        <w:keepNext/>
        <w:keepLines/>
        <w:spacing w:line="240" w:lineRule="auto"/>
        <w:outlineLvl w:val="0"/>
        <w:rPr>
          <w:rFonts w:hint="eastAsia" w:ascii="微软雅黑" w:hAnsi="微软雅黑" w:eastAsia="微软雅黑" w:cs="微软雅黑"/>
          <w:b w:val="0"/>
          <w:bCs/>
          <w:color w:val="000000" w:themeColor="text1"/>
          <w:kern w:val="44"/>
          <w:sz w:val="21"/>
          <w:szCs w:val="21"/>
          <w14:textFill>
            <w14:solidFill>
              <w14:schemeClr w14:val="tx1"/>
            </w14:solidFill>
          </w14:textFill>
        </w:rPr>
      </w:pPr>
      <w:r>
        <w:rPr>
          <w:rFonts w:hint="eastAsia" w:ascii="微软雅黑" w:hAnsi="微软雅黑" w:eastAsia="微软雅黑" w:cs="微软雅黑"/>
          <w:b w:val="0"/>
          <w:bCs/>
          <w:color w:val="000000" w:themeColor="text1"/>
          <w:kern w:val="44"/>
          <w:sz w:val="21"/>
          <w:szCs w:val="21"/>
          <w14:textFill>
            <w14:solidFill>
              <w14:schemeClr w14:val="tx1"/>
            </w14:solidFill>
          </w14:textFill>
        </w:rPr>
        <w:t xml:space="preserve">    第七条 货款结算与支付</w:t>
      </w:r>
    </w:p>
    <w:p>
      <w:pPr>
        <w:widowControl/>
        <w:tabs>
          <w:tab w:val="left" w:pos="8364"/>
        </w:tabs>
        <w:spacing w:line="240" w:lineRule="auto"/>
        <w:ind w:firstLine="420" w:firstLineChars="200"/>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7.1 本合同无预付款。</w:t>
      </w:r>
    </w:p>
    <w:p>
      <w:pPr>
        <w:spacing w:line="240" w:lineRule="auto"/>
        <w:ind w:firstLine="420" w:firstLineChars="200"/>
        <w:rPr>
          <w:rFonts w:hint="eastAsia" w:ascii="微软雅黑" w:hAnsi="微软雅黑" w:eastAsia="微软雅黑" w:cs="微软雅黑"/>
          <w:b w:val="0"/>
          <w:bCs/>
          <w:color w:val="000000" w:themeColor="text1"/>
          <w:kern w:val="0"/>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7.2</w:t>
      </w:r>
      <w:r>
        <w:rPr>
          <w:rFonts w:hint="eastAsia" w:ascii="微软雅黑" w:hAnsi="微软雅黑" w:eastAsia="微软雅黑" w:cs="微软雅黑"/>
          <w:b w:val="0"/>
          <w:bCs/>
          <w:color w:val="000000" w:themeColor="text1"/>
          <w:kern w:val="0"/>
          <w:sz w:val="21"/>
          <w:szCs w:val="21"/>
          <w14:textFill>
            <w14:solidFill>
              <w14:schemeClr w14:val="tx1"/>
            </w14:solidFill>
          </w14:textFill>
        </w:rPr>
        <w:t xml:space="preserve"> 每月的</w:t>
      </w:r>
      <w:r>
        <w:rPr>
          <w:rFonts w:hint="eastAsia" w:ascii="微软雅黑" w:hAnsi="微软雅黑" w:eastAsia="微软雅黑" w:cs="微软雅黑"/>
          <w:b w:val="0"/>
          <w:bCs/>
          <w:color w:val="000000" w:themeColor="text1"/>
          <w:kern w:val="0"/>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kern w:val="0"/>
          <w:sz w:val="21"/>
          <w:szCs w:val="21"/>
          <w14:textFill>
            <w14:solidFill>
              <w14:schemeClr w14:val="tx1"/>
            </w14:solidFill>
          </w14:textFill>
        </w:rPr>
        <w:t>日为当月的结算截止日期，双方根据甲方检验合格及共同签认的凭证计算当月实际收货数量，除此之外任何证明、收条、欠条、信函等文件，都不得作为结算、支付依据。</w:t>
      </w:r>
    </w:p>
    <w:p>
      <w:pPr>
        <w:spacing w:line="240" w:lineRule="auto"/>
        <w:ind w:firstLine="420" w:firstLineChars="200"/>
        <w:rPr>
          <w:rFonts w:hint="eastAsia" w:ascii="微软雅黑" w:hAnsi="微软雅黑" w:eastAsia="微软雅黑" w:cs="微软雅黑"/>
          <w:b w:val="0"/>
          <w:bCs/>
          <w:color w:val="000000" w:themeColor="text1"/>
          <w:kern w:val="18"/>
          <w:sz w:val="21"/>
          <w:szCs w:val="21"/>
          <w14:textFill>
            <w14:solidFill>
              <w14:schemeClr w14:val="tx1"/>
            </w14:solidFill>
          </w14:textFill>
        </w:rPr>
      </w:pPr>
      <w:r>
        <w:rPr>
          <w:rFonts w:hint="eastAsia" w:ascii="微软雅黑" w:hAnsi="微软雅黑" w:eastAsia="微软雅黑" w:cs="微软雅黑"/>
          <w:b w:val="0"/>
          <w:bCs/>
          <w:color w:val="000000" w:themeColor="text1"/>
          <w:kern w:val="18"/>
          <w:sz w:val="21"/>
          <w:szCs w:val="21"/>
          <w14:textFill>
            <w14:solidFill>
              <w14:schemeClr w14:val="tx1"/>
            </w14:solidFill>
          </w14:textFill>
        </w:rPr>
        <w:t>（提示：本条可根据本单位结算管理进行约定）</w:t>
      </w:r>
    </w:p>
    <w:p>
      <w:pPr>
        <w:spacing w:line="240" w:lineRule="auto"/>
        <w:ind w:firstLine="420" w:firstLineChars="200"/>
        <w:rPr>
          <w:rFonts w:hint="eastAsia" w:ascii="微软雅黑" w:hAnsi="微软雅黑" w:eastAsia="微软雅黑" w:cs="微软雅黑"/>
          <w:b w:val="0"/>
          <w:bCs/>
          <w:color w:val="000000" w:themeColor="text1"/>
          <w:kern w:val="18"/>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7.3双方特别约定：遵循“先开票、后付款”的原则，甲方支付前，乙方应按双方确认的应付金额向甲方提供增值税专用发票，并于发票开具后</w:t>
      </w:r>
      <w:r>
        <w:rPr>
          <w:rFonts w:hint="eastAsia" w:ascii="微软雅黑" w:hAnsi="微软雅黑" w:eastAsia="微软雅黑" w:cs="微软雅黑"/>
          <w:b w:val="0"/>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sz w:val="21"/>
          <w:szCs w:val="21"/>
          <w14:textFill>
            <w14:solidFill>
              <w14:schemeClr w14:val="tx1"/>
            </w14:solidFill>
          </w14:textFill>
        </w:rPr>
        <w:t>日内提交给甲方。甲方收到乙方发票后，按合同约定向乙方付款。</w:t>
      </w:r>
    </w:p>
    <w:p>
      <w:pPr>
        <w:spacing w:line="240" w:lineRule="auto"/>
        <w:ind w:firstLine="420" w:firstLineChars="200"/>
        <w:rPr>
          <w:rFonts w:hint="eastAsia" w:ascii="微软雅黑" w:hAnsi="微软雅黑" w:eastAsia="微软雅黑" w:cs="微软雅黑"/>
          <w:b w:val="0"/>
          <w:bCs/>
          <w:color w:val="000000" w:themeColor="text1"/>
          <w:kern w:val="0"/>
          <w:sz w:val="21"/>
          <w:szCs w:val="21"/>
          <w14:textFill>
            <w14:solidFill>
              <w14:schemeClr w14:val="tx1"/>
            </w14:solidFill>
          </w14:textFill>
        </w:rPr>
      </w:pPr>
      <w:r>
        <w:rPr>
          <w:rFonts w:hint="eastAsia" w:ascii="微软雅黑" w:hAnsi="微软雅黑" w:eastAsia="微软雅黑" w:cs="微软雅黑"/>
          <w:b w:val="0"/>
          <w:bCs/>
          <w:color w:val="000000" w:themeColor="text1"/>
          <w:kern w:val="0"/>
          <w:sz w:val="21"/>
          <w:szCs w:val="21"/>
          <w14:textFill>
            <w14:solidFill>
              <w14:schemeClr w14:val="tx1"/>
            </w14:solidFill>
          </w14:textFill>
        </w:rPr>
        <w:t>7.4货款支付采用下列第</w:t>
      </w:r>
      <w:r>
        <w:rPr>
          <w:rFonts w:hint="eastAsia" w:ascii="微软雅黑" w:hAnsi="微软雅黑" w:eastAsia="微软雅黑" w:cs="微软雅黑"/>
          <w:b w:val="0"/>
          <w:bCs/>
          <w:color w:val="000000" w:themeColor="text1"/>
          <w:kern w:val="0"/>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kern w:val="0"/>
          <w:sz w:val="21"/>
          <w:szCs w:val="21"/>
          <w14:textFill>
            <w14:solidFill>
              <w14:schemeClr w14:val="tx1"/>
            </w14:solidFill>
          </w14:textFill>
        </w:rPr>
        <w:t>项。</w:t>
      </w:r>
    </w:p>
    <w:p>
      <w:pPr>
        <w:spacing w:line="240" w:lineRule="auto"/>
        <w:ind w:firstLine="420" w:firstLineChars="200"/>
        <w:rPr>
          <w:rFonts w:hint="eastAsia" w:ascii="微软雅黑" w:hAnsi="微软雅黑" w:eastAsia="微软雅黑" w:cs="微软雅黑"/>
          <w:b w:val="0"/>
          <w:bCs/>
          <w:color w:val="000000" w:themeColor="text1"/>
          <w:kern w:val="0"/>
          <w:sz w:val="21"/>
          <w:szCs w:val="21"/>
          <w14:textFill>
            <w14:solidFill>
              <w14:schemeClr w14:val="tx1"/>
            </w14:solidFill>
          </w14:textFill>
        </w:rPr>
      </w:pPr>
      <w:r>
        <w:rPr>
          <w:rFonts w:hint="eastAsia" w:ascii="微软雅黑" w:hAnsi="微软雅黑" w:eastAsia="微软雅黑" w:cs="微软雅黑"/>
          <w:b w:val="0"/>
          <w:bCs/>
          <w:color w:val="000000" w:themeColor="text1"/>
          <w:kern w:val="0"/>
          <w:sz w:val="21"/>
          <w:szCs w:val="21"/>
          <w14:textFill>
            <w14:solidFill>
              <w14:schemeClr w14:val="tx1"/>
            </w14:solidFill>
          </w14:textFill>
        </w:rPr>
        <w:t>（1）货款一次性支付。结算完成后，甲方收到乙方开具的正式增值税专用发票后</w:t>
      </w:r>
      <w:r>
        <w:rPr>
          <w:rFonts w:hint="eastAsia" w:ascii="微软雅黑" w:hAnsi="微软雅黑" w:eastAsia="微软雅黑" w:cs="微软雅黑"/>
          <w:b w:val="0"/>
          <w:bCs/>
          <w:color w:val="000000" w:themeColor="text1"/>
          <w:kern w:val="0"/>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kern w:val="0"/>
          <w:sz w:val="21"/>
          <w:szCs w:val="21"/>
          <w14:textFill>
            <w14:solidFill>
              <w14:schemeClr w14:val="tx1"/>
            </w14:solidFill>
          </w14:textFill>
        </w:rPr>
        <w:t>日内，向乙方支付货款的</w:t>
      </w:r>
      <w:r>
        <w:rPr>
          <w:rFonts w:hint="eastAsia" w:ascii="微软雅黑" w:hAnsi="微软雅黑" w:eastAsia="微软雅黑" w:cs="微软雅黑"/>
          <w:b w:val="0"/>
          <w:bCs/>
          <w:color w:val="000000" w:themeColor="text1"/>
          <w:kern w:val="0"/>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kern w:val="0"/>
          <w:sz w:val="21"/>
          <w:szCs w:val="21"/>
          <w14:textFill>
            <w14:solidFill>
              <w14:schemeClr w14:val="tx1"/>
            </w14:solidFill>
          </w14:textFill>
        </w:rPr>
        <w:t>%，剩余</w:t>
      </w:r>
      <w:r>
        <w:rPr>
          <w:rFonts w:hint="eastAsia" w:ascii="微软雅黑" w:hAnsi="微软雅黑" w:eastAsia="微软雅黑" w:cs="微软雅黑"/>
          <w:b w:val="0"/>
          <w:bCs/>
          <w:color w:val="000000" w:themeColor="text1"/>
          <w:kern w:val="0"/>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kern w:val="0"/>
          <w:sz w:val="21"/>
          <w:szCs w:val="21"/>
          <w14:textFill>
            <w14:solidFill>
              <w14:schemeClr w14:val="tx1"/>
            </w14:solidFill>
          </w14:textFill>
        </w:rPr>
        <w:t>%作为质保金，待质保期满后</w:t>
      </w:r>
      <w:r>
        <w:rPr>
          <w:rFonts w:hint="eastAsia" w:ascii="微软雅黑" w:hAnsi="微软雅黑" w:eastAsia="微软雅黑" w:cs="微软雅黑"/>
          <w:b w:val="0"/>
          <w:bCs/>
          <w:color w:val="000000" w:themeColor="text1"/>
          <w:kern w:val="0"/>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kern w:val="0"/>
          <w:sz w:val="21"/>
          <w:szCs w:val="21"/>
          <w14:textFill>
            <w14:solidFill>
              <w14:schemeClr w14:val="tx1"/>
            </w14:solidFill>
          </w14:textFill>
        </w:rPr>
        <w:t>个月内无息支付，如发生纠纷，则延后至纠纷最终解决后30天内付清。质量保证金的支付并不视为免除乙方对交付货物质量的保证责任。</w:t>
      </w:r>
    </w:p>
    <w:p>
      <w:pPr>
        <w:spacing w:line="240" w:lineRule="auto"/>
        <w:ind w:firstLine="420" w:firstLineChars="200"/>
        <w:rPr>
          <w:rFonts w:hint="eastAsia" w:ascii="微软雅黑" w:hAnsi="微软雅黑" w:eastAsia="微软雅黑" w:cs="微软雅黑"/>
          <w:b w:val="0"/>
          <w:bCs/>
          <w:color w:val="000000" w:themeColor="text1"/>
          <w:kern w:val="0"/>
          <w:sz w:val="21"/>
          <w:szCs w:val="21"/>
          <w14:textFill>
            <w14:solidFill>
              <w14:schemeClr w14:val="tx1"/>
            </w14:solidFill>
          </w14:textFill>
        </w:rPr>
      </w:pPr>
      <w:r>
        <w:rPr>
          <w:rFonts w:hint="eastAsia" w:ascii="微软雅黑" w:hAnsi="微软雅黑" w:eastAsia="微软雅黑" w:cs="微软雅黑"/>
          <w:b w:val="0"/>
          <w:bCs/>
          <w:color w:val="000000" w:themeColor="text1"/>
          <w:kern w:val="18"/>
          <w:sz w:val="21"/>
          <w:szCs w:val="21"/>
          <w14:textFill>
            <w14:solidFill>
              <w14:schemeClr w14:val="tx1"/>
            </w14:solidFill>
          </w14:textFill>
        </w:rPr>
        <w:t>（提示：如不适用一次性支付货款情况，则本款删除）</w:t>
      </w:r>
    </w:p>
    <w:p>
      <w:pPr>
        <w:spacing w:line="240" w:lineRule="auto"/>
        <w:ind w:firstLine="420" w:firstLineChars="200"/>
        <w:rPr>
          <w:rFonts w:hint="eastAsia" w:ascii="微软雅黑" w:hAnsi="微软雅黑" w:eastAsia="微软雅黑" w:cs="微软雅黑"/>
          <w:b w:val="0"/>
          <w:bCs/>
          <w:color w:val="000000" w:themeColor="text1"/>
          <w:kern w:val="0"/>
          <w:sz w:val="21"/>
          <w:szCs w:val="21"/>
          <w14:textFill>
            <w14:solidFill>
              <w14:schemeClr w14:val="tx1"/>
            </w14:solidFill>
          </w14:textFill>
        </w:rPr>
      </w:pPr>
      <w:r>
        <w:rPr>
          <w:rFonts w:hint="eastAsia" w:ascii="微软雅黑" w:hAnsi="微软雅黑" w:eastAsia="微软雅黑" w:cs="微软雅黑"/>
          <w:b w:val="0"/>
          <w:bCs/>
          <w:color w:val="000000" w:themeColor="text1"/>
          <w:kern w:val="0"/>
          <w:sz w:val="21"/>
          <w:szCs w:val="21"/>
          <w14:textFill>
            <w14:solidFill>
              <w14:schemeClr w14:val="tx1"/>
            </w14:solidFill>
          </w14:textFill>
        </w:rPr>
        <w:t>（2）</w:t>
      </w:r>
      <w:r>
        <w:rPr>
          <w:rFonts w:hint="eastAsia" w:ascii="微软雅黑" w:hAnsi="微软雅黑" w:eastAsia="微软雅黑" w:cs="微软雅黑"/>
          <w:b w:val="0"/>
          <w:bCs/>
          <w:color w:val="000000" w:themeColor="text1"/>
          <w:spacing w:val="2"/>
          <w:kern w:val="0"/>
          <w:sz w:val="21"/>
          <w:szCs w:val="21"/>
          <w14:textFill>
            <w14:solidFill>
              <w14:schemeClr w14:val="tx1"/>
            </w14:solidFill>
          </w14:textFill>
        </w:rPr>
        <w:t xml:space="preserve">货款分期支付。结算完成后，甲方在收到乙方开具的正式的增值税专用发票后 </w:t>
      </w:r>
      <w:r>
        <w:rPr>
          <w:rFonts w:hint="eastAsia" w:ascii="微软雅黑" w:hAnsi="微软雅黑" w:eastAsia="微软雅黑" w:cs="微软雅黑"/>
          <w:b w:val="0"/>
          <w:bCs/>
          <w:color w:val="000000" w:themeColor="text1"/>
          <w:spacing w:val="2"/>
          <w:kern w:val="0"/>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spacing w:val="2"/>
          <w:kern w:val="0"/>
          <w:sz w:val="21"/>
          <w:szCs w:val="21"/>
          <w14:textFill>
            <w14:solidFill>
              <w14:schemeClr w14:val="tx1"/>
            </w14:solidFill>
          </w14:textFill>
        </w:rPr>
        <w:t>日内，甲方按业主当月向其拨付的工程进度款比例，同比例向乙方支付货款，最高支付比例不得高于当月货款结算金额的</w:t>
      </w:r>
      <w:r>
        <w:rPr>
          <w:rFonts w:hint="eastAsia" w:ascii="微软雅黑" w:hAnsi="微软雅黑" w:eastAsia="微软雅黑" w:cs="微软雅黑"/>
          <w:b w:val="0"/>
          <w:bCs/>
          <w:color w:val="000000" w:themeColor="text1"/>
          <w:spacing w:val="2"/>
          <w:kern w:val="0"/>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spacing w:val="2"/>
          <w:kern w:val="0"/>
          <w:sz w:val="21"/>
          <w:szCs w:val="21"/>
          <w14:textFill>
            <w14:solidFill>
              <w14:schemeClr w14:val="tx1"/>
            </w14:solidFill>
          </w14:textFill>
        </w:rPr>
        <w:t>%，剩余</w:t>
      </w:r>
      <w:r>
        <w:rPr>
          <w:rFonts w:hint="eastAsia" w:ascii="微软雅黑" w:hAnsi="微软雅黑" w:eastAsia="微软雅黑" w:cs="微软雅黑"/>
          <w:b w:val="0"/>
          <w:bCs/>
          <w:color w:val="000000" w:themeColor="text1"/>
          <w:spacing w:val="2"/>
          <w:kern w:val="0"/>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spacing w:val="2"/>
          <w:kern w:val="0"/>
          <w:sz w:val="21"/>
          <w:szCs w:val="21"/>
          <w14:textFill>
            <w14:solidFill>
              <w14:schemeClr w14:val="tx1"/>
            </w14:solidFill>
          </w14:textFill>
        </w:rPr>
        <w:t>%作为质保金，待</w:t>
      </w:r>
      <w:r>
        <w:rPr>
          <w:rFonts w:hint="eastAsia" w:ascii="微软雅黑" w:hAnsi="微软雅黑" w:eastAsia="微软雅黑" w:cs="微软雅黑"/>
          <w:b w:val="0"/>
          <w:bCs/>
          <w:color w:val="000000" w:themeColor="text1"/>
          <w:kern w:val="0"/>
          <w:sz w:val="21"/>
          <w:szCs w:val="21"/>
          <w14:textFill>
            <w14:solidFill>
              <w14:schemeClr w14:val="tx1"/>
            </w14:solidFill>
          </w14:textFill>
        </w:rPr>
        <w:t>质保期后</w:t>
      </w:r>
      <w:r>
        <w:rPr>
          <w:rFonts w:hint="eastAsia" w:ascii="微软雅黑" w:hAnsi="微软雅黑" w:eastAsia="微软雅黑" w:cs="微软雅黑"/>
          <w:b w:val="0"/>
          <w:bCs/>
          <w:color w:val="000000" w:themeColor="text1"/>
          <w:kern w:val="0"/>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kern w:val="0"/>
          <w:sz w:val="21"/>
          <w:szCs w:val="21"/>
          <w14:textFill>
            <w14:solidFill>
              <w14:schemeClr w14:val="tx1"/>
            </w14:solidFill>
          </w14:textFill>
        </w:rPr>
        <w:t>个月内无息支付，如发生纠纷，则延后至纠纷最终解决后30天内付清。质量保证金的支付并不视为免除乙方对交付物品质量的保证责任。</w:t>
      </w:r>
    </w:p>
    <w:p>
      <w:pPr>
        <w:spacing w:line="240" w:lineRule="auto"/>
        <w:ind w:firstLine="525" w:firstLineChars="250"/>
        <w:rPr>
          <w:rFonts w:hint="eastAsia" w:ascii="微软雅黑" w:hAnsi="微软雅黑" w:eastAsia="微软雅黑" w:cs="微软雅黑"/>
          <w:b w:val="0"/>
          <w:bCs/>
          <w:color w:val="000000" w:themeColor="text1"/>
          <w:kern w:val="18"/>
          <w:sz w:val="21"/>
          <w:szCs w:val="21"/>
          <w14:textFill>
            <w14:solidFill>
              <w14:schemeClr w14:val="tx1"/>
            </w14:solidFill>
          </w14:textFill>
        </w:rPr>
      </w:pPr>
      <w:r>
        <w:rPr>
          <w:rFonts w:hint="eastAsia" w:ascii="微软雅黑" w:hAnsi="微软雅黑" w:eastAsia="微软雅黑" w:cs="微软雅黑"/>
          <w:b w:val="0"/>
          <w:bCs/>
          <w:color w:val="000000" w:themeColor="text1"/>
          <w:kern w:val="18"/>
          <w:sz w:val="21"/>
          <w:szCs w:val="21"/>
          <w14:textFill>
            <w14:solidFill>
              <w14:schemeClr w14:val="tx1"/>
            </w14:solidFill>
          </w14:textFill>
        </w:rPr>
        <w:t>（提示：如不适用分期付款方式，则本款删除）</w:t>
      </w:r>
    </w:p>
    <w:p>
      <w:pPr>
        <w:spacing w:line="240" w:lineRule="auto"/>
        <w:ind w:firstLine="525" w:firstLineChars="250"/>
        <w:rPr>
          <w:rFonts w:hint="eastAsia" w:ascii="微软雅黑" w:hAnsi="微软雅黑" w:eastAsia="微软雅黑" w:cs="微软雅黑"/>
          <w:b w:val="0"/>
          <w:bCs/>
          <w:color w:val="000000" w:themeColor="text1"/>
          <w:kern w:val="18"/>
          <w:sz w:val="21"/>
          <w:szCs w:val="21"/>
          <w14:textFill>
            <w14:solidFill>
              <w14:schemeClr w14:val="tx1"/>
            </w14:solidFill>
          </w14:textFill>
        </w:rPr>
      </w:pPr>
      <w:r>
        <w:rPr>
          <w:rFonts w:hint="eastAsia" w:ascii="微软雅黑" w:hAnsi="微软雅黑" w:eastAsia="微软雅黑" w:cs="微软雅黑"/>
          <w:b w:val="0"/>
          <w:bCs/>
          <w:color w:val="000000" w:themeColor="text1"/>
          <w:kern w:val="0"/>
          <w:sz w:val="21"/>
          <w:szCs w:val="21"/>
          <w14:textFill>
            <w14:solidFill>
              <w14:schemeClr w14:val="tx1"/>
            </w14:solidFill>
          </w14:textFill>
        </w:rPr>
        <w:t>7.5支付方式：</w:t>
      </w:r>
      <w:r>
        <w:rPr>
          <w:rFonts w:hint="eastAsia" w:ascii="微软雅黑" w:hAnsi="微软雅黑" w:eastAsia="微软雅黑" w:cs="微软雅黑"/>
          <w:b w:val="0"/>
          <w:bCs/>
          <w:color w:val="000000" w:themeColor="text1"/>
          <w:kern w:val="0"/>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kern w:val="0"/>
          <w:sz w:val="21"/>
          <w:szCs w:val="21"/>
          <w14:textFill>
            <w14:solidFill>
              <w14:schemeClr w14:val="tx1"/>
            </w14:solidFill>
          </w14:textFill>
        </w:rPr>
        <w:t>。</w:t>
      </w:r>
    </w:p>
    <w:p>
      <w:pPr>
        <w:spacing w:line="240" w:lineRule="auto"/>
        <w:ind w:firstLine="525" w:firstLineChars="250"/>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kern w:val="18"/>
          <w:sz w:val="21"/>
          <w:szCs w:val="21"/>
          <w14:textFill>
            <w14:solidFill>
              <w14:schemeClr w14:val="tx1"/>
            </w14:solidFill>
          </w14:textFill>
        </w:rPr>
        <w:t>（提示：根据项目实际情况，选择银行转帐、信用证支付等方式，但在约定承兑汇票方式时，应注明此价格基础上甲方不另外支付承兑贴息）</w:t>
      </w:r>
      <w:r>
        <w:rPr>
          <w:rFonts w:hint="eastAsia" w:ascii="微软雅黑" w:hAnsi="微软雅黑" w:eastAsia="微软雅黑" w:cs="微软雅黑"/>
          <w:b w:val="0"/>
          <w:bCs/>
          <w:color w:val="000000" w:themeColor="text1"/>
          <w:sz w:val="21"/>
          <w:szCs w:val="21"/>
          <w14:textFill>
            <w14:solidFill>
              <w14:schemeClr w14:val="tx1"/>
            </w14:solidFill>
          </w14:textFill>
        </w:rPr>
        <w:t xml:space="preserve"> </w:t>
      </w:r>
    </w:p>
    <w:p>
      <w:pPr>
        <w:spacing w:line="240" w:lineRule="auto"/>
        <w:ind w:firstLine="525" w:firstLineChars="250"/>
        <w:rPr>
          <w:rFonts w:hint="eastAsia" w:ascii="微软雅黑" w:hAnsi="微软雅黑" w:eastAsia="微软雅黑" w:cs="微软雅黑"/>
          <w:b w:val="0"/>
          <w:bCs/>
          <w:color w:val="000000" w:themeColor="text1"/>
          <w:kern w:val="18"/>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乙方指定联系人</w:t>
      </w:r>
      <w:r>
        <w:rPr>
          <w:rFonts w:hint="eastAsia" w:ascii="微软雅黑" w:hAnsi="微软雅黑" w:eastAsia="微软雅黑" w:cs="微软雅黑"/>
          <w:b w:val="0"/>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sz w:val="21"/>
          <w:szCs w:val="21"/>
          <w14:textFill>
            <w14:solidFill>
              <w14:schemeClr w14:val="tx1"/>
            </w14:solidFill>
          </w14:textFill>
        </w:rPr>
        <w:t>，联系方式</w:t>
      </w:r>
      <w:r>
        <w:rPr>
          <w:rFonts w:hint="eastAsia" w:ascii="微软雅黑" w:hAnsi="微软雅黑" w:eastAsia="微软雅黑" w:cs="微软雅黑"/>
          <w:b w:val="0"/>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sz w:val="21"/>
          <w:szCs w:val="21"/>
          <w14:textFill>
            <w14:solidFill>
              <w14:schemeClr w14:val="tx1"/>
            </w14:solidFill>
          </w14:textFill>
        </w:rPr>
        <w:t xml:space="preserve">  </w:t>
      </w:r>
    </w:p>
    <w:p>
      <w:pPr>
        <w:tabs>
          <w:tab w:val="left" w:pos="360"/>
        </w:tabs>
        <w:spacing w:line="240" w:lineRule="auto"/>
        <w:ind w:firstLine="434" w:firstLineChars="207"/>
        <w:rPr>
          <w:rFonts w:hint="eastAsia" w:ascii="微软雅黑" w:hAnsi="微软雅黑" w:eastAsia="微软雅黑" w:cs="微软雅黑"/>
          <w:b w:val="0"/>
          <w:bCs/>
          <w:color w:val="000000" w:themeColor="text1"/>
          <w:kern w:val="0"/>
          <w:sz w:val="21"/>
          <w:szCs w:val="21"/>
          <w14:textFill>
            <w14:solidFill>
              <w14:schemeClr w14:val="tx1"/>
            </w14:solidFill>
          </w14:textFill>
        </w:rPr>
      </w:pPr>
      <w:r>
        <w:rPr>
          <w:rFonts w:hint="eastAsia" w:ascii="微软雅黑" w:hAnsi="微软雅黑" w:eastAsia="微软雅黑" w:cs="微软雅黑"/>
          <w:b w:val="0"/>
          <w:bCs/>
          <w:color w:val="000000" w:themeColor="text1"/>
          <w:kern w:val="0"/>
          <w:sz w:val="21"/>
          <w:szCs w:val="21"/>
          <w14:textFill>
            <w14:solidFill>
              <w14:schemeClr w14:val="tx1"/>
            </w14:solidFill>
          </w14:textFill>
        </w:rPr>
        <w:t>7.6如甲方出现资金困难，乙方同意给予</w:t>
      </w:r>
      <w:r>
        <w:rPr>
          <w:rFonts w:hint="eastAsia" w:ascii="微软雅黑" w:hAnsi="微软雅黑" w:eastAsia="微软雅黑" w:cs="微软雅黑"/>
          <w:b w:val="0"/>
          <w:bCs/>
          <w:color w:val="000000" w:themeColor="text1"/>
          <w:kern w:val="0"/>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kern w:val="0"/>
          <w:sz w:val="21"/>
          <w:szCs w:val="21"/>
          <w14:textFill>
            <w14:solidFill>
              <w14:schemeClr w14:val="tx1"/>
            </w14:solidFill>
          </w14:textFill>
        </w:rPr>
        <w:t>个月的付款宽限期，在此宽期间内不视为甲方违约且不计息，乙方不得以此为由中断本项目的货物供应。</w:t>
      </w:r>
    </w:p>
    <w:p>
      <w:pPr>
        <w:keepNext/>
        <w:keepLines/>
        <w:spacing w:line="240" w:lineRule="auto"/>
        <w:outlineLvl w:val="0"/>
        <w:rPr>
          <w:rFonts w:hint="eastAsia" w:ascii="微软雅黑" w:hAnsi="微软雅黑" w:eastAsia="微软雅黑" w:cs="微软雅黑"/>
          <w:b w:val="0"/>
          <w:bCs/>
          <w:color w:val="000000" w:themeColor="text1"/>
          <w:kern w:val="44"/>
          <w:sz w:val="21"/>
          <w:szCs w:val="21"/>
          <w14:textFill>
            <w14:solidFill>
              <w14:schemeClr w14:val="tx1"/>
            </w14:solidFill>
          </w14:textFill>
        </w:rPr>
      </w:pPr>
      <w:r>
        <w:rPr>
          <w:rFonts w:hint="eastAsia" w:ascii="微软雅黑" w:hAnsi="微软雅黑" w:eastAsia="微软雅黑" w:cs="微软雅黑"/>
          <w:b w:val="0"/>
          <w:bCs/>
          <w:color w:val="000000" w:themeColor="text1"/>
          <w:kern w:val="44"/>
          <w:sz w:val="21"/>
          <w:szCs w:val="21"/>
          <w14:textFill>
            <w14:solidFill>
              <w14:schemeClr w14:val="tx1"/>
            </w14:solidFill>
          </w14:textFill>
        </w:rPr>
        <w:t xml:space="preserve">    第八条 甲方的义务</w:t>
      </w:r>
    </w:p>
    <w:p>
      <w:pPr>
        <w:spacing w:line="240" w:lineRule="auto"/>
        <w:ind w:firstLine="420" w:firstLineChars="200"/>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8.1 甲方负责提供供货计划和准确的交货地点。</w:t>
      </w:r>
    </w:p>
    <w:p>
      <w:pPr>
        <w:spacing w:line="240" w:lineRule="auto"/>
        <w:ind w:firstLine="420" w:firstLineChars="200"/>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8.2 按合同约定支付合同价款。</w:t>
      </w:r>
    </w:p>
    <w:p>
      <w:pPr>
        <w:spacing w:line="240" w:lineRule="auto"/>
        <w:ind w:firstLine="420" w:firstLineChars="200"/>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8.3 甲方不得无故拒绝接收供应计划范围内的物品。</w:t>
      </w:r>
    </w:p>
    <w:p>
      <w:pPr>
        <w:spacing w:line="240" w:lineRule="auto"/>
        <w:ind w:firstLine="420" w:firstLineChars="200"/>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8.4 按合同约定对物品进行检验和验收。</w:t>
      </w:r>
    </w:p>
    <w:p>
      <w:pPr>
        <w:keepNext/>
        <w:keepLines/>
        <w:spacing w:line="240" w:lineRule="auto"/>
        <w:outlineLvl w:val="0"/>
        <w:rPr>
          <w:rFonts w:hint="eastAsia" w:ascii="微软雅黑" w:hAnsi="微软雅黑" w:eastAsia="微软雅黑" w:cs="微软雅黑"/>
          <w:b w:val="0"/>
          <w:bCs/>
          <w:color w:val="000000" w:themeColor="text1"/>
          <w:kern w:val="44"/>
          <w:sz w:val="21"/>
          <w:szCs w:val="21"/>
          <w14:textFill>
            <w14:solidFill>
              <w14:schemeClr w14:val="tx1"/>
            </w14:solidFill>
          </w14:textFill>
        </w:rPr>
      </w:pPr>
      <w:r>
        <w:rPr>
          <w:rFonts w:hint="eastAsia" w:ascii="微软雅黑" w:hAnsi="微软雅黑" w:eastAsia="微软雅黑" w:cs="微软雅黑"/>
          <w:b w:val="0"/>
          <w:bCs/>
          <w:color w:val="000000" w:themeColor="text1"/>
          <w:kern w:val="44"/>
          <w:sz w:val="21"/>
          <w:szCs w:val="21"/>
          <w14:textFill>
            <w14:solidFill>
              <w14:schemeClr w14:val="tx1"/>
            </w14:solidFill>
          </w14:textFill>
        </w:rPr>
        <w:t xml:space="preserve">    第九条 乙方的义务</w:t>
      </w:r>
    </w:p>
    <w:p>
      <w:pPr>
        <w:tabs>
          <w:tab w:val="left" w:pos="360"/>
        </w:tabs>
        <w:spacing w:line="240" w:lineRule="auto"/>
        <w:ind w:firstLine="434" w:firstLineChars="207"/>
        <w:rPr>
          <w:rFonts w:hint="eastAsia" w:ascii="微软雅黑" w:hAnsi="微软雅黑" w:eastAsia="微软雅黑" w:cs="微软雅黑"/>
          <w:b w:val="0"/>
          <w:bCs/>
          <w:color w:val="000000" w:themeColor="text1"/>
          <w:kern w:val="0"/>
          <w:sz w:val="21"/>
          <w:szCs w:val="21"/>
          <w14:textFill>
            <w14:solidFill>
              <w14:schemeClr w14:val="tx1"/>
            </w14:solidFill>
          </w14:textFill>
        </w:rPr>
      </w:pPr>
      <w:r>
        <w:rPr>
          <w:rFonts w:hint="eastAsia" w:ascii="微软雅黑" w:hAnsi="微软雅黑" w:eastAsia="微软雅黑" w:cs="微软雅黑"/>
          <w:b w:val="0"/>
          <w:bCs/>
          <w:color w:val="000000" w:themeColor="text1"/>
          <w:kern w:val="0"/>
          <w:sz w:val="21"/>
          <w:szCs w:val="21"/>
          <w14:textFill>
            <w14:solidFill>
              <w14:schemeClr w14:val="tx1"/>
            </w14:solidFill>
          </w14:textFill>
        </w:rPr>
        <w:t>9.1 乙方保质保量提供服务，所供钢材必须经国家权威机构认可的钢铁公司生产的产品，产品质量符合国家标准及相关规定。</w:t>
      </w:r>
    </w:p>
    <w:p>
      <w:pPr>
        <w:tabs>
          <w:tab w:val="left" w:pos="360"/>
        </w:tabs>
        <w:spacing w:line="240" w:lineRule="auto"/>
        <w:ind w:firstLine="434" w:firstLineChars="207"/>
        <w:rPr>
          <w:rFonts w:hint="eastAsia" w:ascii="微软雅黑" w:hAnsi="微软雅黑" w:eastAsia="微软雅黑" w:cs="微软雅黑"/>
          <w:b w:val="0"/>
          <w:bCs/>
          <w:color w:val="000000" w:themeColor="text1"/>
          <w:kern w:val="0"/>
          <w:sz w:val="21"/>
          <w:szCs w:val="21"/>
          <w14:textFill>
            <w14:solidFill>
              <w14:schemeClr w14:val="tx1"/>
            </w14:solidFill>
          </w14:textFill>
        </w:rPr>
      </w:pPr>
      <w:r>
        <w:rPr>
          <w:rFonts w:hint="eastAsia" w:ascii="微软雅黑" w:hAnsi="微软雅黑" w:eastAsia="微软雅黑" w:cs="微软雅黑"/>
          <w:b w:val="0"/>
          <w:bCs/>
          <w:color w:val="000000" w:themeColor="text1"/>
          <w:kern w:val="0"/>
          <w:sz w:val="21"/>
          <w:szCs w:val="21"/>
          <w14:textFill>
            <w14:solidFill>
              <w14:schemeClr w14:val="tx1"/>
            </w14:solidFill>
          </w14:textFill>
        </w:rPr>
        <w:t>9.2 乙方应在规定的时间内，准确无误地将产品送至甲方指定送货地点，并配合甲方验收，共同做好签认记录。</w:t>
      </w:r>
    </w:p>
    <w:p>
      <w:pPr>
        <w:tabs>
          <w:tab w:val="left" w:pos="360"/>
        </w:tabs>
        <w:spacing w:line="240" w:lineRule="auto"/>
        <w:ind w:firstLine="434" w:firstLineChars="207"/>
        <w:rPr>
          <w:rFonts w:hint="eastAsia" w:ascii="微软雅黑" w:hAnsi="微软雅黑" w:eastAsia="微软雅黑" w:cs="微软雅黑"/>
          <w:b w:val="0"/>
          <w:bCs/>
          <w:color w:val="000000" w:themeColor="text1"/>
          <w:kern w:val="0"/>
          <w:sz w:val="21"/>
          <w:szCs w:val="21"/>
          <w14:textFill>
            <w14:solidFill>
              <w14:schemeClr w14:val="tx1"/>
            </w14:solidFill>
          </w14:textFill>
        </w:rPr>
      </w:pPr>
      <w:r>
        <w:rPr>
          <w:rFonts w:hint="eastAsia" w:ascii="微软雅黑" w:hAnsi="微软雅黑" w:eastAsia="微软雅黑" w:cs="微软雅黑"/>
          <w:b w:val="0"/>
          <w:bCs/>
          <w:color w:val="000000" w:themeColor="text1"/>
          <w:kern w:val="0"/>
          <w:sz w:val="21"/>
          <w:szCs w:val="21"/>
          <w14:textFill>
            <w14:solidFill>
              <w14:schemeClr w14:val="tx1"/>
            </w14:solidFill>
          </w14:textFill>
        </w:rPr>
        <w:t>9.3 乙方应做好所供钢材进场工作，保证顺利卸货退场，确保供料正常进行。</w:t>
      </w:r>
    </w:p>
    <w:p>
      <w:pPr>
        <w:tabs>
          <w:tab w:val="left" w:pos="360"/>
        </w:tabs>
        <w:spacing w:line="240" w:lineRule="auto"/>
        <w:ind w:firstLine="434" w:firstLineChars="207"/>
        <w:rPr>
          <w:rFonts w:hint="eastAsia" w:ascii="微软雅黑" w:hAnsi="微软雅黑" w:eastAsia="微软雅黑" w:cs="微软雅黑"/>
          <w:b w:val="0"/>
          <w:bCs/>
          <w:color w:val="000000" w:themeColor="text1"/>
          <w:kern w:val="0"/>
          <w:sz w:val="21"/>
          <w:szCs w:val="21"/>
          <w14:textFill>
            <w14:solidFill>
              <w14:schemeClr w14:val="tx1"/>
            </w14:solidFill>
          </w14:textFill>
        </w:rPr>
      </w:pPr>
      <w:r>
        <w:rPr>
          <w:rFonts w:hint="eastAsia" w:ascii="微软雅黑" w:hAnsi="微软雅黑" w:eastAsia="微软雅黑" w:cs="微软雅黑"/>
          <w:b w:val="0"/>
          <w:bCs/>
          <w:color w:val="000000" w:themeColor="text1"/>
          <w:kern w:val="0"/>
          <w:sz w:val="21"/>
          <w:szCs w:val="21"/>
          <w14:textFill>
            <w14:solidFill>
              <w14:schemeClr w14:val="tx1"/>
            </w14:solidFill>
          </w14:textFill>
        </w:rPr>
        <w:t>9.4 乙方有义务协助甲方调剂非乙方原因造成的乙方所供应的多余产品。</w:t>
      </w:r>
    </w:p>
    <w:p>
      <w:pPr>
        <w:tabs>
          <w:tab w:val="left" w:pos="360"/>
        </w:tabs>
        <w:spacing w:line="240" w:lineRule="auto"/>
        <w:ind w:firstLine="434" w:firstLineChars="207"/>
        <w:rPr>
          <w:rFonts w:hint="eastAsia" w:ascii="微软雅黑" w:hAnsi="微软雅黑" w:eastAsia="微软雅黑" w:cs="微软雅黑"/>
          <w:b w:val="0"/>
          <w:bCs/>
          <w:color w:val="000000" w:themeColor="text1"/>
          <w:kern w:val="0"/>
          <w:sz w:val="21"/>
          <w:szCs w:val="21"/>
          <w14:textFill>
            <w14:solidFill>
              <w14:schemeClr w14:val="tx1"/>
            </w14:solidFill>
          </w14:textFill>
        </w:rPr>
      </w:pPr>
      <w:r>
        <w:rPr>
          <w:rFonts w:hint="eastAsia" w:ascii="微软雅黑" w:hAnsi="微软雅黑" w:eastAsia="微软雅黑" w:cs="微软雅黑"/>
          <w:b w:val="0"/>
          <w:bCs/>
          <w:color w:val="000000" w:themeColor="text1"/>
          <w:kern w:val="0"/>
          <w:sz w:val="21"/>
          <w:szCs w:val="21"/>
          <w14:textFill>
            <w14:solidFill>
              <w14:schemeClr w14:val="tx1"/>
            </w14:solidFill>
          </w14:textFill>
        </w:rPr>
        <w:t>9.5 乙方必须做好运输、装卸等过程中的环境保护，遵守国家和行业的有关规定。因违反规定而受到任何处罚的，乙方承担全部责任。在货物交付之前，因乙方原因对道路、周围环境、及人身、财产造成损害的，乙方承担赔偿责任。</w:t>
      </w:r>
    </w:p>
    <w:p>
      <w:pPr>
        <w:tabs>
          <w:tab w:val="left" w:pos="360"/>
        </w:tabs>
        <w:spacing w:line="240" w:lineRule="auto"/>
        <w:ind w:firstLine="434" w:firstLineChars="207"/>
        <w:rPr>
          <w:rFonts w:hint="eastAsia" w:ascii="微软雅黑" w:hAnsi="微软雅黑" w:eastAsia="微软雅黑" w:cs="微软雅黑"/>
          <w:b w:val="0"/>
          <w:bCs/>
          <w:color w:val="000000" w:themeColor="text1"/>
          <w:kern w:val="0"/>
          <w:sz w:val="21"/>
          <w:szCs w:val="21"/>
          <w14:textFill>
            <w14:solidFill>
              <w14:schemeClr w14:val="tx1"/>
            </w14:solidFill>
          </w14:textFill>
        </w:rPr>
      </w:pPr>
      <w:r>
        <w:rPr>
          <w:rFonts w:hint="eastAsia" w:ascii="微软雅黑" w:hAnsi="微软雅黑" w:eastAsia="微软雅黑" w:cs="微软雅黑"/>
          <w:b w:val="0"/>
          <w:bCs/>
          <w:color w:val="000000" w:themeColor="text1"/>
          <w:kern w:val="0"/>
          <w:sz w:val="21"/>
          <w:szCs w:val="21"/>
          <w14:textFill>
            <w14:solidFill>
              <w14:schemeClr w14:val="tx1"/>
            </w14:solidFill>
          </w14:textFill>
        </w:rPr>
        <w:t>9.6乙方积极协助甲方在税法规定期限内办理有关的进项税额的认证申办手续。乙方开具的增值税专用发票在送达甲方后如发生丢失、灭失，乙方应按照税法规定和甲方的要求及时向甲方提供该发票的存根联复印件，以及乙方所在地主管税务机关开具的《丢失增值税发票（专用发票/普通发票）已报税证明单》，如因乙方拒绝履行配合义务，造成甲方经济损失的，应由乙方承担。</w:t>
      </w:r>
    </w:p>
    <w:p>
      <w:pPr>
        <w:tabs>
          <w:tab w:val="left" w:pos="360"/>
        </w:tabs>
        <w:spacing w:line="240" w:lineRule="auto"/>
        <w:ind w:firstLine="434" w:firstLineChars="207"/>
        <w:rPr>
          <w:rFonts w:hint="eastAsia" w:ascii="微软雅黑" w:hAnsi="微软雅黑" w:eastAsia="微软雅黑" w:cs="微软雅黑"/>
          <w:b w:val="0"/>
          <w:bCs/>
          <w:color w:val="000000" w:themeColor="text1"/>
          <w:kern w:val="0"/>
          <w:sz w:val="21"/>
          <w:szCs w:val="21"/>
          <w14:textFill>
            <w14:solidFill>
              <w14:schemeClr w14:val="tx1"/>
            </w14:solidFill>
          </w14:textFill>
        </w:rPr>
      </w:pPr>
      <w:r>
        <w:rPr>
          <w:rFonts w:hint="eastAsia" w:ascii="微软雅黑" w:hAnsi="微软雅黑" w:eastAsia="微软雅黑" w:cs="微软雅黑"/>
          <w:b w:val="0"/>
          <w:bCs/>
          <w:color w:val="000000" w:themeColor="text1"/>
          <w:kern w:val="0"/>
          <w:sz w:val="21"/>
          <w:szCs w:val="21"/>
          <w14:textFill>
            <w14:solidFill>
              <w14:schemeClr w14:val="tx1"/>
            </w14:solidFill>
          </w14:textFill>
        </w:rPr>
        <w:t>9.7 在涉及到钢材质量问题的退货行为时,如果退货行为涉及到开具红字增值税专用发票的行为,乙方应当履行相关协助义务，因乙方原因造成的退货行为产生的人工费、运输费等费用由乙方承担。</w:t>
      </w:r>
    </w:p>
    <w:p>
      <w:pPr>
        <w:tabs>
          <w:tab w:val="left" w:pos="360"/>
        </w:tabs>
        <w:spacing w:line="240" w:lineRule="auto"/>
        <w:ind w:firstLine="434" w:firstLineChars="207"/>
        <w:rPr>
          <w:rFonts w:hint="eastAsia" w:ascii="微软雅黑" w:hAnsi="微软雅黑" w:eastAsia="微软雅黑" w:cs="微软雅黑"/>
          <w:b w:val="0"/>
          <w:bCs/>
          <w:color w:val="000000" w:themeColor="text1"/>
          <w:kern w:val="0"/>
          <w:sz w:val="21"/>
          <w:szCs w:val="21"/>
          <w14:textFill>
            <w14:solidFill>
              <w14:schemeClr w14:val="tx1"/>
            </w14:solidFill>
          </w14:textFill>
        </w:rPr>
      </w:pPr>
      <w:r>
        <w:rPr>
          <w:rFonts w:hint="eastAsia" w:ascii="微软雅黑" w:hAnsi="微软雅黑" w:eastAsia="微软雅黑" w:cs="微软雅黑"/>
          <w:b w:val="0"/>
          <w:bCs/>
          <w:color w:val="000000" w:themeColor="text1"/>
          <w:kern w:val="0"/>
          <w:sz w:val="21"/>
          <w:szCs w:val="21"/>
          <w14:textFill>
            <w14:solidFill>
              <w14:schemeClr w14:val="tx1"/>
            </w14:solidFill>
          </w14:textFill>
        </w:rPr>
        <w:t>9.8在本合同发生变更涉及增值税专用发票记载项目发生变化时，如果甲方取得增值税专用发票尚未认证抵扣,乙方应于专用发票认证期限内办理红字增值税专用发票开具申请，并重新开具增值税专用发票。如果原增值税专用发票已经抵扣，乙方就合同增加的金额补开增值税专用发票，就减少的金额甲方负责办理红字增值税专用发票开具申请，乙方开具红字增值税专用发票。</w:t>
      </w:r>
    </w:p>
    <w:p>
      <w:pPr>
        <w:widowControl/>
        <w:tabs>
          <w:tab w:val="left" w:pos="8364"/>
        </w:tabs>
        <w:spacing w:line="240" w:lineRule="auto"/>
        <w:ind w:firstLine="411" w:firstLineChars="196"/>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9.9乙方其他义务：</w:t>
      </w:r>
      <w:r>
        <w:rPr>
          <w:rFonts w:hint="eastAsia" w:ascii="微软雅黑" w:hAnsi="微软雅黑" w:eastAsia="微软雅黑" w:cs="微软雅黑"/>
          <w:b w:val="0"/>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sz w:val="21"/>
          <w:szCs w:val="21"/>
          <w14:textFill>
            <w14:solidFill>
              <w14:schemeClr w14:val="tx1"/>
            </w14:solidFill>
          </w14:textFill>
        </w:rPr>
        <w:t>。</w:t>
      </w:r>
    </w:p>
    <w:p>
      <w:pPr>
        <w:keepNext/>
        <w:keepLines/>
        <w:spacing w:line="240" w:lineRule="auto"/>
        <w:outlineLvl w:val="0"/>
        <w:rPr>
          <w:rFonts w:hint="eastAsia" w:ascii="微软雅黑" w:hAnsi="微软雅黑" w:eastAsia="微软雅黑" w:cs="微软雅黑"/>
          <w:b w:val="0"/>
          <w:bCs/>
          <w:color w:val="000000" w:themeColor="text1"/>
          <w:kern w:val="44"/>
          <w:sz w:val="21"/>
          <w:szCs w:val="21"/>
          <w14:textFill>
            <w14:solidFill>
              <w14:schemeClr w14:val="tx1"/>
            </w14:solidFill>
          </w14:textFill>
        </w:rPr>
      </w:pPr>
      <w:r>
        <w:rPr>
          <w:rFonts w:hint="eastAsia" w:ascii="微软雅黑" w:hAnsi="微软雅黑" w:eastAsia="微软雅黑" w:cs="微软雅黑"/>
          <w:b w:val="0"/>
          <w:bCs/>
          <w:color w:val="000000" w:themeColor="text1"/>
          <w:kern w:val="44"/>
          <w:sz w:val="21"/>
          <w:szCs w:val="21"/>
          <w14:textFill>
            <w14:solidFill>
              <w14:schemeClr w14:val="tx1"/>
            </w14:solidFill>
          </w14:textFill>
        </w:rPr>
        <w:t xml:space="preserve">    第十条 违约责任</w:t>
      </w:r>
    </w:p>
    <w:p>
      <w:pPr>
        <w:spacing w:line="240" w:lineRule="auto"/>
        <w:ind w:firstLine="420" w:firstLineChars="200"/>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10.1甲方在宽限期后，仍逾期支付货款的（乙方未履行向甲方开具增值税专用发票等合同约定的义务除外），甲方对逾期付款部分从宽限期满的次日起向乙方支付违约金。违约金按中国人民银行同期活期存款利率计算，计算的基数以甲方最后一笔付款时剩余欠款金额为准，不包括前期逾期但现已支付部分的货款，违约金最高不得超过本合同项下双方结算价款（不含增值税）的1%。除此之外，甲方不再承担其他任何违约责任。</w:t>
      </w:r>
    </w:p>
    <w:p>
      <w:pPr>
        <w:tabs>
          <w:tab w:val="left" w:pos="900"/>
        </w:tabs>
        <w:spacing w:line="240" w:lineRule="auto"/>
        <w:ind w:firstLine="420" w:firstLineChars="200"/>
        <w:rPr>
          <w:rFonts w:hint="eastAsia" w:ascii="微软雅黑" w:hAnsi="微软雅黑" w:eastAsia="微软雅黑" w:cs="微软雅黑"/>
          <w:b w:val="0"/>
          <w:bCs/>
          <w:color w:val="000000" w:themeColor="text1"/>
          <w:kern w:val="0"/>
          <w:sz w:val="21"/>
          <w:szCs w:val="21"/>
          <w14:textFill>
            <w14:solidFill>
              <w14:schemeClr w14:val="tx1"/>
            </w14:solidFill>
          </w14:textFill>
        </w:rPr>
      </w:pPr>
      <w:r>
        <w:rPr>
          <w:rFonts w:hint="eastAsia" w:ascii="微软雅黑" w:hAnsi="微软雅黑" w:eastAsia="微软雅黑" w:cs="微软雅黑"/>
          <w:b w:val="0"/>
          <w:bCs/>
          <w:color w:val="000000" w:themeColor="text1"/>
          <w:kern w:val="0"/>
          <w:sz w:val="21"/>
          <w:szCs w:val="21"/>
          <w14:textFill>
            <w14:solidFill>
              <w14:schemeClr w14:val="tx1"/>
            </w14:solidFill>
          </w14:textFill>
        </w:rPr>
        <w:t>10.2 乙方不能随车提供质保书和其他单证的，甲方有权拒绝收货，乙方应承担退货等责任和费用，并向甲方支付未提供单证的货款金额的</w:t>
      </w:r>
      <w:r>
        <w:rPr>
          <w:rFonts w:hint="eastAsia" w:ascii="微软雅黑" w:hAnsi="微软雅黑" w:eastAsia="微软雅黑" w:cs="微软雅黑"/>
          <w:b w:val="0"/>
          <w:bCs/>
          <w:color w:val="000000" w:themeColor="text1"/>
          <w:kern w:val="0"/>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kern w:val="0"/>
          <w:sz w:val="21"/>
          <w:szCs w:val="21"/>
          <w14:textFill>
            <w14:solidFill>
              <w14:schemeClr w14:val="tx1"/>
            </w14:solidFill>
          </w14:textFill>
        </w:rPr>
        <w:t>%的违约金，并由此承担给甲方造成的损失。</w:t>
      </w:r>
    </w:p>
    <w:p>
      <w:pPr>
        <w:tabs>
          <w:tab w:val="left" w:pos="360"/>
        </w:tabs>
        <w:spacing w:line="240" w:lineRule="auto"/>
        <w:ind w:firstLine="434" w:firstLineChars="207"/>
        <w:rPr>
          <w:rFonts w:hint="eastAsia" w:ascii="微软雅黑" w:hAnsi="微软雅黑" w:eastAsia="微软雅黑" w:cs="微软雅黑"/>
          <w:b w:val="0"/>
          <w:bCs/>
          <w:color w:val="000000" w:themeColor="text1"/>
          <w:kern w:val="0"/>
          <w:sz w:val="21"/>
          <w:szCs w:val="21"/>
          <w14:textFill>
            <w14:solidFill>
              <w14:schemeClr w14:val="tx1"/>
            </w14:solidFill>
          </w14:textFill>
        </w:rPr>
      </w:pPr>
      <w:r>
        <w:rPr>
          <w:rFonts w:hint="eastAsia" w:ascii="微软雅黑" w:hAnsi="微软雅黑" w:eastAsia="微软雅黑" w:cs="微软雅黑"/>
          <w:b w:val="0"/>
          <w:bCs/>
          <w:color w:val="000000" w:themeColor="text1"/>
          <w:kern w:val="0"/>
          <w:sz w:val="21"/>
          <w:szCs w:val="21"/>
          <w14:textFill>
            <w14:solidFill>
              <w14:schemeClr w14:val="tx1"/>
            </w14:solidFill>
          </w14:textFill>
        </w:rPr>
        <w:t>10.3 乙方逾期交货的，每逾期一日，按照逾期交货金额的</w:t>
      </w:r>
      <w:r>
        <w:rPr>
          <w:rFonts w:hint="eastAsia" w:ascii="微软雅黑" w:hAnsi="微软雅黑" w:eastAsia="微软雅黑" w:cs="微软雅黑"/>
          <w:b w:val="0"/>
          <w:bCs/>
          <w:color w:val="000000" w:themeColor="text1"/>
          <w:kern w:val="0"/>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kern w:val="0"/>
          <w:sz w:val="21"/>
          <w:szCs w:val="21"/>
          <w14:textFill>
            <w14:solidFill>
              <w14:schemeClr w14:val="tx1"/>
            </w14:solidFill>
          </w14:textFill>
        </w:rPr>
        <w:t>%向甲方支付逾期交货的违约金，甲方视工程进度情况有权向第三方采购或部分采购产品，所增加的费用由乙方承担；如逾期超过</w:t>
      </w:r>
      <w:r>
        <w:rPr>
          <w:rFonts w:hint="eastAsia" w:ascii="微软雅黑" w:hAnsi="微软雅黑" w:eastAsia="微软雅黑" w:cs="微软雅黑"/>
          <w:b w:val="0"/>
          <w:bCs/>
          <w:color w:val="000000" w:themeColor="text1"/>
          <w:kern w:val="0"/>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kern w:val="0"/>
          <w:sz w:val="21"/>
          <w:szCs w:val="21"/>
          <w14:textFill>
            <w14:solidFill>
              <w14:schemeClr w14:val="tx1"/>
            </w14:solidFill>
          </w14:textFill>
        </w:rPr>
        <w:t>日，则甲方有权解除合同，乙方应承担由此给甲方造成的一切损失。</w:t>
      </w:r>
    </w:p>
    <w:p>
      <w:pPr>
        <w:tabs>
          <w:tab w:val="left" w:pos="360"/>
        </w:tabs>
        <w:spacing w:line="240" w:lineRule="auto"/>
        <w:ind w:firstLine="434" w:firstLineChars="207"/>
        <w:rPr>
          <w:rFonts w:hint="eastAsia" w:ascii="微软雅黑" w:hAnsi="微软雅黑" w:eastAsia="微软雅黑" w:cs="微软雅黑"/>
          <w:b w:val="0"/>
          <w:bCs/>
          <w:color w:val="000000" w:themeColor="text1"/>
          <w:kern w:val="0"/>
          <w:sz w:val="21"/>
          <w:szCs w:val="21"/>
          <w14:textFill>
            <w14:solidFill>
              <w14:schemeClr w14:val="tx1"/>
            </w14:solidFill>
          </w14:textFill>
        </w:rPr>
      </w:pPr>
      <w:r>
        <w:rPr>
          <w:rFonts w:hint="eastAsia" w:ascii="微软雅黑" w:hAnsi="微软雅黑" w:eastAsia="微软雅黑" w:cs="微软雅黑"/>
          <w:b w:val="0"/>
          <w:bCs/>
          <w:color w:val="000000" w:themeColor="text1"/>
          <w:kern w:val="0"/>
          <w:sz w:val="21"/>
          <w:szCs w:val="21"/>
          <w14:textFill>
            <w14:solidFill>
              <w14:schemeClr w14:val="tx1"/>
            </w14:solidFill>
          </w14:textFill>
        </w:rPr>
        <w:t>10.4 乙方所交产品的品种、型号、规格和质量等不符合合同约定的，乙方应按照甲方异议时提出的要求处理，由此产生的费用由乙方自行承担。如在甲方指定的期限内，乙方仍不能达到合同约定条件或甲方要求的，乙方按本批次所交产品金额的</w:t>
      </w:r>
      <w:r>
        <w:rPr>
          <w:rFonts w:hint="eastAsia" w:ascii="微软雅黑" w:hAnsi="微软雅黑" w:eastAsia="微软雅黑" w:cs="微软雅黑"/>
          <w:b w:val="0"/>
          <w:bCs/>
          <w:color w:val="000000" w:themeColor="text1"/>
          <w:kern w:val="0"/>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kern w:val="0"/>
          <w:sz w:val="21"/>
          <w:szCs w:val="21"/>
          <w14:textFill>
            <w14:solidFill>
              <w14:schemeClr w14:val="tx1"/>
            </w14:solidFill>
          </w14:textFill>
        </w:rPr>
        <w:t>%支付违约金；逾期超过指定期限</w:t>
      </w:r>
      <w:r>
        <w:rPr>
          <w:rFonts w:hint="eastAsia" w:ascii="微软雅黑" w:hAnsi="微软雅黑" w:eastAsia="微软雅黑" w:cs="微软雅黑"/>
          <w:b w:val="0"/>
          <w:bCs/>
          <w:color w:val="000000" w:themeColor="text1"/>
          <w:kern w:val="0"/>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kern w:val="0"/>
          <w:sz w:val="21"/>
          <w:szCs w:val="21"/>
          <w14:textFill>
            <w14:solidFill>
              <w14:schemeClr w14:val="tx1"/>
            </w14:solidFill>
          </w14:textFill>
        </w:rPr>
        <w:t>日的，甲方有权解除本合同，由此给甲方造成的损失由乙方承担。</w:t>
      </w:r>
    </w:p>
    <w:p>
      <w:pPr>
        <w:tabs>
          <w:tab w:val="left" w:pos="360"/>
        </w:tabs>
        <w:spacing w:line="240" w:lineRule="auto"/>
        <w:ind w:firstLine="434" w:firstLineChars="207"/>
        <w:rPr>
          <w:rFonts w:hint="eastAsia" w:ascii="微软雅黑" w:hAnsi="微软雅黑" w:eastAsia="微软雅黑" w:cs="微软雅黑"/>
          <w:b w:val="0"/>
          <w:bCs/>
          <w:color w:val="000000" w:themeColor="text1"/>
          <w:kern w:val="0"/>
          <w:sz w:val="21"/>
          <w:szCs w:val="21"/>
          <w14:textFill>
            <w14:solidFill>
              <w14:schemeClr w14:val="tx1"/>
            </w14:solidFill>
          </w14:textFill>
        </w:rPr>
      </w:pPr>
      <w:r>
        <w:rPr>
          <w:rFonts w:hint="eastAsia" w:ascii="微软雅黑" w:hAnsi="微软雅黑" w:eastAsia="微软雅黑" w:cs="微软雅黑"/>
          <w:b w:val="0"/>
          <w:bCs/>
          <w:color w:val="000000" w:themeColor="text1"/>
          <w:kern w:val="0"/>
          <w:sz w:val="21"/>
          <w:szCs w:val="21"/>
          <w14:textFill>
            <w14:solidFill>
              <w14:schemeClr w14:val="tx1"/>
            </w14:solidFill>
          </w14:textFill>
        </w:rPr>
        <w:t>10.5 乙方多送产品到达甲方指定地点的，甲方有权拒绝接收多交部分产品，退场责任和费用由乙方自行负责；如乙方拒绝收回多交部分产品的，甲方有权自行处理上述货物，造成的损失由乙方承担。</w:t>
      </w:r>
    </w:p>
    <w:p>
      <w:pPr>
        <w:tabs>
          <w:tab w:val="left" w:pos="360"/>
        </w:tabs>
        <w:spacing w:line="240" w:lineRule="auto"/>
        <w:ind w:firstLine="434" w:firstLineChars="207"/>
        <w:rPr>
          <w:rFonts w:hint="eastAsia" w:ascii="微软雅黑" w:hAnsi="微软雅黑" w:eastAsia="微软雅黑" w:cs="微软雅黑"/>
          <w:b w:val="0"/>
          <w:bCs/>
          <w:color w:val="000000" w:themeColor="text1"/>
          <w:kern w:val="0"/>
          <w:sz w:val="21"/>
          <w:szCs w:val="21"/>
          <w14:textFill>
            <w14:solidFill>
              <w14:schemeClr w14:val="tx1"/>
            </w14:solidFill>
          </w14:textFill>
        </w:rPr>
      </w:pPr>
      <w:r>
        <w:rPr>
          <w:rFonts w:hint="eastAsia" w:ascii="微软雅黑" w:hAnsi="微软雅黑" w:eastAsia="微软雅黑" w:cs="微软雅黑"/>
          <w:b w:val="0"/>
          <w:bCs/>
          <w:color w:val="000000" w:themeColor="text1"/>
          <w:kern w:val="0"/>
          <w:sz w:val="21"/>
          <w:szCs w:val="21"/>
          <w14:textFill>
            <w14:solidFill>
              <w14:schemeClr w14:val="tx1"/>
            </w14:solidFill>
          </w14:textFill>
        </w:rPr>
        <w:t>10.6 乙方不得擅自停止供货，否则甲方有权重新选择其它供应商，乙方应承担因此给甲方造成的一切损失。</w:t>
      </w:r>
    </w:p>
    <w:p>
      <w:pPr>
        <w:tabs>
          <w:tab w:val="left" w:pos="360"/>
        </w:tabs>
        <w:spacing w:line="240" w:lineRule="auto"/>
        <w:ind w:firstLine="434" w:firstLineChars="207"/>
        <w:rPr>
          <w:rFonts w:hint="eastAsia" w:ascii="微软雅黑" w:hAnsi="微软雅黑" w:eastAsia="微软雅黑" w:cs="微软雅黑"/>
          <w:b w:val="0"/>
          <w:bCs/>
          <w:color w:val="000000" w:themeColor="text1"/>
          <w:kern w:val="0"/>
          <w:sz w:val="21"/>
          <w:szCs w:val="21"/>
          <w14:textFill>
            <w14:solidFill>
              <w14:schemeClr w14:val="tx1"/>
            </w14:solidFill>
          </w14:textFill>
        </w:rPr>
      </w:pPr>
      <w:r>
        <w:rPr>
          <w:rFonts w:hint="eastAsia" w:ascii="微软雅黑" w:hAnsi="微软雅黑" w:eastAsia="微软雅黑" w:cs="微软雅黑"/>
          <w:b w:val="0"/>
          <w:bCs/>
          <w:color w:val="000000" w:themeColor="text1"/>
          <w:kern w:val="0"/>
          <w:sz w:val="21"/>
          <w:szCs w:val="21"/>
          <w14:textFill>
            <w14:solidFill>
              <w14:schemeClr w14:val="tx1"/>
            </w14:solidFill>
          </w14:textFill>
        </w:rPr>
        <w:t>10.7 乙方与第三方发生的任何经济往来和债务纠纷均与甲方无关，乙方并保证货物无权属瑕疵或知识产权争议，否则，给甲方造成的任何损失由乙方承担。</w:t>
      </w:r>
    </w:p>
    <w:p>
      <w:pPr>
        <w:spacing w:line="240" w:lineRule="auto"/>
        <w:ind w:firstLine="420" w:firstLineChars="200"/>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10.8乙方未能提供增值税专用发票的，甲方有权暂停支付相应款项，且乙方需向甲方承担赔偿责任包括但不限于税款、滞纳金、罚款及相关损失等。</w:t>
      </w:r>
    </w:p>
    <w:p>
      <w:pPr>
        <w:spacing w:line="240" w:lineRule="auto"/>
        <w:ind w:firstLine="420" w:firstLineChars="200"/>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10.9 乙方应按合同约定及时向甲方提供增值税专用发票，逾期提供的，每逾期一天，乙方应向甲方支付违约金</w:t>
      </w:r>
      <w:r>
        <w:rPr>
          <w:rFonts w:hint="eastAsia" w:ascii="微软雅黑" w:hAnsi="微软雅黑" w:eastAsia="微软雅黑" w:cs="微软雅黑"/>
          <w:b w:val="0"/>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sz w:val="21"/>
          <w:szCs w:val="21"/>
          <w14:textFill>
            <w14:solidFill>
              <w14:schemeClr w14:val="tx1"/>
            </w14:solidFill>
          </w14:textFill>
        </w:rPr>
        <w:t>元。因乙方开具的增值税专用发票不及时，造成甲方无法及时认证、抵扣税款等情形的，乙方需向甲方承担赔偿责任包括但不限于税款、滞纳金、罚款及相关损失等。</w:t>
      </w:r>
    </w:p>
    <w:p>
      <w:pPr>
        <w:spacing w:line="240" w:lineRule="auto"/>
        <w:ind w:firstLine="420" w:firstLineChars="200"/>
        <w:rPr>
          <w:rFonts w:hint="eastAsia" w:ascii="微软雅黑" w:hAnsi="微软雅黑" w:eastAsia="微软雅黑" w:cs="微软雅黑"/>
          <w:b w:val="0"/>
          <w:bCs/>
          <w:color w:val="000000" w:themeColor="text1"/>
          <w:kern w:val="0"/>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10.10乙方应提供真实、有效、合格的增值税专用发票，如乙方提供虚假或虚开的增值税专用发票，甲方有权拒收或退回，乙方应负责无偿更换，并自行承担相应法律责任。由此造成甲方无法及时认证、抵扣税款等情形的，乙方需向甲方承担赔偿责任包括但不限于税款、滞纳金、罚款及相关损失等。</w:t>
      </w:r>
    </w:p>
    <w:p>
      <w:pPr>
        <w:autoSpaceDE w:val="0"/>
        <w:autoSpaceDN w:val="0"/>
        <w:adjustRightInd w:val="0"/>
        <w:spacing w:line="240" w:lineRule="auto"/>
        <w:ind w:firstLine="420" w:firstLineChars="200"/>
        <w:rPr>
          <w:rFonts w:hint="eastAsia" w:ascii="微软雅黑" w:hAnsi="微软雅黑" w:eastAsia="微软雅黑" w:cs="微软雅黑"/>
          <w:b w:val="0"/>
          <w:bCs/>
          <w:color w:val="000000" w:themeColor="text1"/>
          <w:kern w:val="0"/>
          <w:sz w:val="21"/>
          <w:szCs w:val="21"/>
          <w14:textFill>
            <w14:solidFill>
              <w14:schemeClr w14:val="tx1"/>
            </w14:solidFill>
          </w14:textFill>
        </w:rPr>
      </w:pPr>
      <w:r>
        <w:rPr>
          <w:rFonts w:hint="eastAsia" w:ascii="微软雅黑" w:hAnsi="微软雅黑" w:eastAsia="微软雅黑" w:cs="微软雅黑"/>
          <w:b w:val="0"/>
          <w:bCs/>
          <w:color w:val="000000" w:themeColor="text1"/>
          <w:kern w:val="0"/>
          <w:sz w:val="21"/>
          <w:szCs w:val="21"/>
          <w14:textFill>
            <w14:solidFill>
              <w14:schemeClr w14:val="tx1"/>
            </w14:solidFill>
          </w14:textFill>
        </w:rPr>
        <w:t>10.8</w:t>
      </w:r>
      <w:r>
        <w:rPr>
          <w:rFonts w:hint="eastAsia" w:ascii="微软雅黑" w:hAnsi="微软雅黑" w:eastAsia="微软雅黑" w:cs="微软雅黑"/>
          <w:b w:val="0"/>
          <w:bCs/>
          <w:color w:val="000000" w:themeColor="text1"/>
          <w:kern w:val="0"/>
          <w:sz w:val="21"/>
          <w:szCs w:val="21"/>
          <w:lang w:val="zh-CN"/>
          <w14:textFill>
            <w14:solidFill>
              <w14:schemeClr w14:val="tx1"/>
            </w14:solidFill>
          </w14:textFill>
        </w:rPr>
        <w:t xml:space="preserve"> 乙方其他违约责任：</w:t>
      </w:r>
      <w:r>
        <w:rPr>
          <w:rFonts w:hint="eastAsia" w:ascii="微软雅黑" w:hAnsi="微软雅黑" w:eastAsia="微软雅黑" w:cs="微软雅黑"/>
          <w:b w:val="0"/>
          <w:bCs/>
          <w:color w:val="000000" w:themeColor="text1"/>
          <w:kern w:val="0"/>
          <w:sz w:val="21"/>
          <w:szCs w:val="21"/>
          <w:u w:val="single"/>
          <w:lang w:val="zh-CN"/>
          <w14:textFill>
            <w14:solidFill>
              <w14:schemeClr w14:val="tx1"/>
            </w14:solidFill>
          </w14:textFill>
        </w:rPr>
        <w:t xml:space="preserve">                    </w:t>
      </w:r>
      <w:r>
        <w:rPr>
          <w:rFonts w:hint="eastAsia" w:ascii="微软雅黑" w:hAnsi="微软雅黑" w:eastAsia="微软雅黑" w:cs="微软雅黑"/>
          <w:b w:val="0"/>
          <w:bCs/>
          <w:color w:val="000000" w:themeColor="text1"/>
          <w:kern w:val="0"/>
          <w:sz w:val="21"/>
          <w:szCs w:val="21"/>
          <w:lang w:val="zh-CN"/>
          <w14:textFill>
            <w14:solidFill>
              <w14:schemeClr w14:val="tx1"/>
            </w14:solidFill>
          </w14:textFill>
        </w:rPr>
        <w:t>。</w:t>
      </w:r>
    </w:p>
    <w:p>
      <w:pPr>
        <w:keepNext/>
        <w:keepLines/>
        <w:spacing w:line="240" w:lineRule="auto"/>
        <w:outlineLvl w:val="0"/>
        <w:rPr>
          <w:rFonts w:hint="eastAsia" w:ascii="微软雅黑" w:hAnsi="微软雅黑" w:eastAsia="微软雅黑" w:cs="微软雅黑"/>
          <w:b w:val="0"/>
          <w:bCs/>
          <w:color w:val="000000" w:themeColor="text1"/>
          <w:kern w:val="44"/>
          <w:sz w:val="21"/>
          <w:szCs w:val="21"/>
          <w14:textFill>
            <w14:solidFill>
              <w14:schemeClr w14:val="tx1"/>
            </w14:solidFill>
          </w14:textFill>
        </w:rPr>
      </w:pPr>
      <w:r>
        <w:rPr>
          <w:rFonts w:hint="eastAsia" w:ascii="微软雅黑" w:hAnsi="微软雅黑" w:eastAsia="微软雅黑" w:cs="微软雅黑"/>
          <w:b w:val="0"/>
          <w:bCs/>
          <w:color w:val="000000" w:themeColor="text1"/>
          <w:kern w:val="44"/>
          <w:sz w:val="21"/>
          <w:szCs w:val="21"/>
          <w14:textFill>
            <w14:solidFill>
              <w14:schemeClr w14:val="tx1"/>
            </w14:solidFill>
          </w14:textFill>
        </w:rPr>
        <w:t xml:space="preserve">    第十一条 争议解决</w:t>
      </w:r>
    </w:p>
    <w:p>
      <w:pPr>
        <w:spacing w:line="240" w:lineRule="auto"/>
        <w:ind w:left="479" w:leftChars="228"/>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甲乙双方在履行合同时发生争议的，应协商解决。协商不成的，选择以下第</w:t>
      </w:r>
      <w:r>
        <w:rPr>
          <w:rFonts w:hint="eastAsia" w:ascii="微软雅黑" w:hAnsi="微软雅黑" w:eastAsia="微软雅黑" w:cs="微软雅黑"/>
          <w:b w:val="0"/>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sz w:val="21"/>
          <w:szCs w:val="21"/>
          <w14:textFill>
            <w14:solidFill>
              <w14:schemeClr w14:val="tx1"/>
            </w14:solidFill>
          </w14:textFill>
        </w:rPr>
        <w:t>种方式：①由</w:t>
      </w:r>
      <w:r>
        <w:rPr>
          <w:rFonts w:hint="eastAsia" w:ascii="微软雅黑" w:hAnsi="微软雅黑" w:eastAsia="微软雅黑" w:cs="微软雅黑"/>
          <w:b w:val="0"/>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sz w:val="21"/>
          <w:szCs w:val="21"/>
          <w14:textFill>
            <w14:solidFill>
              <w14:schemeClr w14:val="tx1"/>
            </w14:solidFill>
          </w14:textFill>
        </w:rPr>
        <w:t>仲裁委员会进行仲裁；</w:t>
      </w:r>
    </w:p>
    <w:p>
      <w:pPr>
        <w:spacing w:line="240" w:lineRule="auto"/>
        <w:ind w:left="479" w:leftChars="228"/>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②按照争议标的提交</w:t>
      </w:r>
      <w:r>
        <w:rPr>
          <w:rFonts w:hint="eastAsia" w:ascii="微软雅黑" w:hAnsi="微软雅黑" w:eastAsia="微软雅黑" w:cs="微软雅黑"/>
          <w:b w:val="0"/>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b w:val="0"/>
          <w:bCs/>
          <w:color w:val="000000" w:themeColor="text1"/>
          <w:sz w:val="21"/>
          <w:szCs w:val="21"/>
          <w14:textFill>
            <w14:solidFill>
              <w14:schemeClr w14:val="tx1"/>
            </w14:solidFill>
          </w14:textFill>
        </w:rPr>
        <w:t>法院进行诉讼；</w:t>
      </w:r>
    </w:p>
    <w:p>
      <w:pPr>
        <w:spacing w:line="240" w:lineRule="auto"/>
        <w:ind w:left="479" w:leftChars="228"/>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③提交我方（根据我方的合同主体地位填写甲方或乙方）所在地人民法院进行诉讼。</w:t>
      </w:r>
    </w:p>
    <w:p>
      <w:pPr>
        <w:widowControl/>
        <w:tabs>
          <w:tab w:val="left" w:pos="8364"/>
        </w:tabs>
        <w:spacing w:line="240" w:lineRule="auto"/>
        <w:ind w:firstLine="411" w:firstLineChars="196"/>
        <w:rPr>
          <w:rFonts w:hint="eastAsia" w:ascii="微软雅黑" w:hAnsi="微软雅黑" w:eastAsia="微软雅黑" w:cs="微软雅黑"/>
          <w:b w:val="0"/>
          <w:bCs/>
          <w:color w:val="000000" w:themeColor="text1"/>
          <w:kern w:val="0"/>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（提示：管辖条款由法律事务部门根据合同实际情况确定一种。无论诉讼还是仲裁解决，均应选择与甲方最密切联系的法院或者仲裁机构。选择仲裁的，应优先选择</w:t>
      </w:r>
      <w:r>
        <w:rPr>
          <w:rFonts w:hint="eastAsia" w:ascii="微软雅黑" w:hAnsi="微软雅黑" w:eastAsia="微软雅黑" w:cs="微软雅黑"/>
          <w:b w:val="0"/>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sz w:val="21"/>
          <w:szCs w:val="21"/>
          <w14:textFill>
            <w14:solidFill>
              <w14:schemeClr w14:val="tx1"/>
            </w14:solidFill>
          </w14:textFill>
        </w:rPr>
        <w:t>仲裁委员会进行仲裁；铁路项目或法律规定可以由铁路运输法院管辖的纠纷必须选择</w:t>
      </w:r>
      <w:r>
        <w:rPr>
          <w:rFonts w:hint="eastAsia" w:ascii="微软雅黑" w:hAnsi="微软雅黑" w:eastAsia="微软雅黑" w:cs="微软雅黑"/>
          <w:b w:val="0"/>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sz w:val="21"/>
          <w:szCs w:val="21"/>
          <w14:textFill>
            <w14:solidFill>
              <w14:schemeClr w14:val="tx1"/>
            </w14:solidFill>
          </w14:textFill>
        </w:rPr>
        <w:t>的铁路运输法院；除以上两种情形外，必须约定由我方所在地法院进行诉讼）</w:t>
      </w:r>
    </w:p>
    <w:p>
      <w:pPr>
        <w:keepNext/>
        <w:keepLines/>
        <w:spacing w:line="240" w:lineRule="auto"/>
        <w:outlineLvl w:val="0"/>
        <w:rPr>
          <w:rFonts w:hint="eastAsia" w:ascii="微软雅黑" w:hAnsi="微软雅黑" w:eastAsia="微软雅黑" w:cs="微软雅黑"/>
          <w:b w:val="0"/>
          <w:bCs/>
          <w:color w:val="000000" w:themeColor="text1"/>
          <w:kern w:val="44"/>
          <w:sz w:val="21"/>
          <w:szCs w:val="21"/>
          <w14:textFill>
            <w14:solidFill>
              <w14:schemeClr w14:val="tx1"/>
            </w14:solidFill>
          </w14:textFill>
        </w:rPr>
      </w:pPr>
      <w:r>
        <w:rPr>
          <w:rFonts w:hint="eastAsia" w:ascii="微软雅黑" w:hAnsi="微软雅黑" w:eastAsia="微软雅黑" w:cs="微软雅黑"/>
          <w:b w:val="0"/>
          <w:bCs/>
          <w:color w:val="000000" w:themeColor="text1"/>
          <w:kern w:val="44"/>
          <w:sz w:val="21"/>
          <w:szCs w:val="21"/>
          <w14:textFill>
            <w14:solidFill>
              <w14:schemeClr w14:val="tx1"/>
            </w14:solidFill>
          </w14:textFill>
        </w:rPr>
        <w:t xml:space="preserve">    第十二条 其他事项</w:t>
      </w:r>
    </w:p>
    <w:p>
      <w:pPr>
        <w:tabs>
          <w:tab w:val="left" w:pos="360"/>
        </w:tabs>
        <w:spacing w:line="240" w:lineRule="auto"/>
        <w:ind w:firstLine="434" w:firstLineChars="207"/>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kern w:val="0"/>
          <w:sz w:val="21"/>
          <w:szCs w:val="21"/>
          <w14:textFill>
            <w14:solidFill>
              <w14:schemeClr w14:val="tx1"/>
            </w14:solidFill>
          </w14:textFill>
        </w:rPr>
        <w:t xml:space="preserve">12.1 </w:t>
      </w:r>
      <w:r>
        <w:rPr>
          <w:rFonts w:hint="eastAsia" w:ascii="微软雅黑" w:hAnsi="微软雅黑" w:eastAsia="微软雅黑" w:cs="微软雅黑"/>
          <w:b w:val="0"/>
          <w:bCs/>
          <w:color w:val="000000" w:themeColor="text1"/>
          <w:sz w:val="21"/>
          <w:szCs w:val="21"/>
          <w14:textFill>
            <w14:solidFill>
              <w14:schemeClr w14:val="tx1"/>
            </w14:solidFill>
          </w14:textFill>
        </w:rPr>
        <w:t>本合同项下的债权不得转让，也不得用于担保。</w:t>
      </w:r>
    </w:p>
    <w:p>
      <w:pPr>
        <w:tabs>
          <w:tab w:val="left" w:pos="360"/>
        </w:tabs>
        <w:spacing w:line="240" w:lineRule="auto"/>
        <w:ind w:firstLine="434" w:firstLineChars="207"/>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12.2在本合同履行过程中，如任何一方发生税务登记、公司名称等重大信息的变更事项，应在重大信息变更后的</w:t>
      </w:r>
      <w:r>
        <w:rPr>
          <w:rFonts w:hint="eastAsia" w:ascii="微软雅黑" w:hAnsi="微软雅黑" w:eastAsia="微软雅黑" w:cs="微软雅黑"/>
          <w:b w:val="0"/>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sz w:val="21"/>
          <w:szCs w:val="21"/>
          <w14:textFill>
            <w14:solidFill>
              <w14:schemeClr w14:val="tx1"/>
            </w14:solidFill>
          </w14:textFill>
        </w:rPr>
        <w:t>日内书面通知对方及有关机构变更情况，并提供相关信息资料。</w:t>
      </w:r>
    </w:p>
    <w:p>
      <w:pPr>
        <w:tabs>
          <w:tab w:val="left" w:pos="360"/>
        </w:tabs>
        <w:spacing w:line="240" w:lineRule="auto"/>
        <w:ind w:firstLine="434" w:firstLineChars="207"/>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12.3双方确定双方所预留的以下地址为双方送达通知等文件的有效地址，任一方按照该地址向对方送达的通知、纪要等文件均为有效送达。任一方变更送</w:t>
      </w:r>
      <w:bookmarkStart w:id="0" w:name="_GoBack"/>
      <w:bookmarkEnd w:id="0"/>
      <w:r>
        <w:rPr>
          <w:rFonts w:hint="eastAsia" w:ascii="微软雅黑" w:hAnsi="微软雅黑" w:eastAsia="微软雅黑" w:cs="微软雅黑"/>
          <w:b w:val="0"/>
          <w:bCs/>
          <w:color w:val="000000" w:themeColor="text1"/>
          <w:sz w:val="21"/>
          <w:szCs w:val="21"/>
          <w14:textFill>
            <w14:solidFill>
              <w14:schemeClr w14:val="tx1"/>
            </w14:solidFill>
          </w14:textFill>
        </w:rPr>
        <w:t>达地址必须在变更地址之日起三日内向对方书面通知，否则不发生送达地址变更的法律效力，对方按原地址送达仍然为有效送达。</w:t>
      </w:r>
    </w:p>
    <w:p>
      <w:pPr>
        <w:tabs>
          <w:tab w:val="left" w:pos="360"/>
        </w:tabs>
        <w:spacing w:line="240" w:lineRule="auto"/>
        <w:ind w:firstLine="434" w:firstLineChars="207"/>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甲方送达地址：</w:t>
      </w:r>
      <w:r>
        <w:rPr>
          <w:rFonts w:hint="eastAsia" w:ascii="微软雅黑" w:hAnsi="微软雅黑" w:eastAsia="微软雅黑" w:cs="微软雅黑"/>
          <w:b w:val="0"/>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sz w:val="21"/>
          <w:szCs w:val="21"/>
          <w14:textFill>
            <w14:solidFill>
              <w14:schemeClr w14:val="tx1"/>
            </w14:solidFill>
          </w14:textFill>
        </w:rPr>
        <w:t xml:space="preserve"> 。</w:t>
      </w:r>
    </w:p>
    <w:p>
      <w:pPr>
        <w:tabs>
          <w:tab w:val="left" w:pos="360"/>
        </w:tabs>
        <w:spacing w:line="240" w:lineRule="auto"/>
        <w:ind w:firstLine="434" w:firstLineChars="207"/>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乙方送达地址：</w:t>
      </w:r>
      <w:r>
        <w:rPr>
          <w:rFonts w:hint="eastAsia" w:ascii="微软雅黑" w:hAnsi="微软雅黑" w:eastAsia="微软雅黑" w:cs="微软雅黑"/>
          <w:b w:val="0"/>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sz w:val="21"/>
          <w:szCs w:val="21"/>
          <w14:textFill>
            <w14:solidFill>
              <w14:schemeClr w14:val="tx1"/>
            </w14:solidFill>
          </w14:textFill>
        </w:rPr>
        <w:t xml:space="preserve"> 。</w:t>
      </w:r>
    </w:p>
    <w:p>
      <w:pPr>
        <w:tabs>
          <w:tab w:val="left" w:pos="360"/>
        </w:tabs>
        <w:spacing w:line="240" w:lineRule="auto"/>
        <w:ind w:firstLine="434" w:firstLineChars="207"/>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12.4合同如有未尽事宜，经双方协商签订补充协议。</w:t>
      </w:r>
    </w:p>
    <w:p>
      <w:pPr>
        <w:tabs>
          <w:tab w:val="left" w:pos="360"/>
        </w:tabs>
        <w:spacing w:line="240" w:lineRule="auto"/>
        <w:ind w:firstLine="434" w:firstLineChars="207"/>
        <w:rPr>
          <w:rFonts w:hint="eastAsia" w:ascii="微软雅黑" w:hAnsi="微软雅黑" w:eastAsia="微软雅黑" w:cs="微软雅黑"/>
          <w:b w:val="0"/>
          <w:bCs/>
          <w:color w:val="000000" w:themeColor="text1"/>
          <w:kern w:val="0"/>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12.5本合同自双方签章之日起生效。本合同</w:t>
      </w:r>
      <w:r>
        <w:rPr>
          <w:rFonts w:hint="eastAsia" w:ascii="微软雅黑" w:hAnsi="微软雅黑" w:eastAsia="微软雅黑" w:cs="微软雅黑"/>
          <w:b w:val="0"/>
          <w:bCs/>
          <w:color w:val="000000" w:themeColor="text1"/>
          <w:kern w:val="0"/>
          <w:sz w:val="21"/>
          <w:szCs w:val="21"/>
          <w14:textFill>
            <w14:solidFill>
              <w14:schemeClr w14:val="tx1"/>
            </w14:solidFill>
          </w14:textFill>
        </w:rPr>
        <w:t>一式</w:t>
      </w:r>
      <w:r>
        <w:rPr>
          <w:rFonts w:hint="eastAsia" w:ascii="微软雅黑" w:hAnsi="微软雅黑" w:eastAsia="微软雅黑" w:cs="微软雅黑"/>
          <w:b w:val="0"/>
          <w:bCs/>
          <w:color w:val="000000" w:themeColor="text1"/>
          <w:kern w:val="0"/>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kern w:val="0"/>
          <w:sz w:val="21"/>
          <w:szCs w:val="21"/>
          <w14:textFill>
            <w14:solidFill>
              <w14:schemeClr w14:val="tx1"/>
            </w14:solidFill>
          </w14:textFill>
        </w:rPr>
        <w:t>份，双方各执</w:t>
      </w:r>
      <w:r>
        <w:rPr>
          <w:rFonts w:hint="eastAsia" w:ascii="微软雅黑" w:hAnsi="微软雅黑" w:eastAsia="微软雅黑" w:cs="微软雅黑"/>
          <w:b w:val="0"/>
          <w:bCs/>
          <w:color w:val="000000" w:themeColor="text1"/>
          <w:kern w:val="0"/>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kern w:val="0"/>
          <w:sz w:val="21"/>
          <w:szCs w:val="21"/>
          <w14:textFill>
            <w14:solidFill>
              <w14:schemeClr w14:val="tx1"/>
            </w14:solidFill>
          </w14:textFill>
        </w:rPr>
        <w:t>份。</w:t>
      </w:r>
    </w:p>
    <w:p>
      <w:pPr>
        <w:spacing w:line="240" w:lineRule="auto"/>
        <w:ind w:firstLine="415" w:firstLineChars="198"/>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（以下无合同正文）</w:t>
      </w:r>
    </w:p>
    <w:tbl>
      <w:tblPr>
        <w:tblStyle w:val="2"/>
        <w:tblW w:w="8964" w:type="dxa"/>
        <w:tblInd w:w="0" w:type="dxa"/>
        <w:tblLayout w:type="fixed"/>
        <w:tblCellMar>
          <w:top w:w="0" w:type="dxa"/>
          <w:left w:w="108" w:type="dxa"/>
          <w:bottom w:w="0" w:type="dxa"/>
          <w:right w:w="108" w:type="dxa"/>
        </w:tblCellMar>
      </w:tblPr>
      <w:tblGrid>
        <w:gridCol w:w="4482"/>
        <w:gridCol w:w="4482"/>
      </w:tblGrid>
      <w:tr>
        <w:tblPrEx>
          <w:tblCellMar>
            <w:top w:w="0" w:type="dxa"/>
            <w:left w:w="108" w:type="dxa"/>
            <w:bottom w:w="0" w:type="dxa"/>
            <w:right w:w="108" w:type="dxa"/>
          </w:tblCellMar>
        </w:tblPrEx>
        <w:trPr>
          <w:trHeight w:val="489" w:hRule="atLeast"/>
        </w:trPr>
        <w:tc>
          <w:tcPr>
            <w:tcW w:w="4482" w:type="dxa"/>
            <w:noWrap w:val="0"/>
            <w:vAlign w:val="top"/>
          </w:tcPr>
          <w:p>
            <w:pPr>
              <w:spacing w:line="240" w:lineRule="auto"/>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买方：（公章）</w:t>
            </w:r>
          </w:p>
        </w:tc>
        <w:tc>
          <w:tcPr>
            <w:tcW w:w="4482" w:type="dxa"/>
            <w:noWrap w:val="0"/>
            <w:vAlign w:val="top"/>
          </w:tcPr>
          <w:p>
            <w:pPr>
              <w:spacing w:line="240" w:lineRule="auto"/>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卖方：（公章）</w:t>
            </w:r>
          </w:p>
        </w:tc>
      </w:tr>
      <w:tr>
        <w:tblPrEx>
          <w:tblCellMar>
            <w:top w:w="0" w:type="dxa"/>
            <w:left w:w="108" w:type="dxa"/>
            <w:bottom w:w="0" w:type="dxa"/>
            <w:right w:w="108" w:type="dxa"/>
          </w:tblCellMar>
        </w:tblPrEx>
        <w:trPr>
          <w:trHeight w:val="489" w:hRule="atLeast"/>
        </w:trPr>
        <w:tc>
          <w:tcPr>
            <w:tcW w:w="4482" w:type="dxa"/>
            <w:noWrap w:val="0"/>
            <w:vAlign w:val="top"/>
          </w:tcPr>
          <w:p>
            <w:pPr>
              <w:spacing w:line="240" w:lineRule="auto"/>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住所地址：</w:t>
            </w:r>
          </w:p>
        </w:tc>
        <w:tc>
          <w:tcPr>
            <w:tcW w:w="4482" w:type="dxa"/>
            <w:noWrap w:val="0"/>
            <w:vAlign w:val="top"/>
          </w:tcPr>
          <w:p>
            <w:pPr>
              <w:spacing w:line="240" w:lineRule="auto"/>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住所地址：</w:t>
            </w:r>
          </w:p>
        </w:tc>
      </w:tr>
      <w:tr>
        <w:tblPrEx>
          <w:tblCellMar>
            <w:top w:w="0" w:type="dxa"/>
            <w:left w:w="108" w:type="dxa"/>
            <w:bottom w:w="0" w:type="dxa"/>
            <w:right w:w="108" w:type="dxa"/>
          </w:tblCellMar>
        </w:tblPrEx>
        <w:trPr>
          <w:trHeight w:val="489" w:hRule="atLeast"/>
        </w:trPr>
        <w:tc>
          <w:tcPr>
            <w:tcW w:w="4482" w:type="dxa"/>
            <w:noWrap w:val="0"/>
            <w:vAlign w:val="top"/>
          </w:tcPr>
          <w:p>
            <w:pPr>
              <w:spacing w:line="240" w:lineRule="auto"/>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法定代表人：</w:t>
            </w:r>
          </w:p>
        </w:tc>
        <w:tc>
          <w:tcPr>
            <w:tcW w:w="4482" w:type="dxa"/>
            <w:noWrap w:val="0"/>
            <w:vAlign w:val="top"/>
          </w:tcPr>
          <w:p>
            <w:pPr>
              <w:spacing w:line="240" w:lineRule="auto"/>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法定代表人：</w:t>
            </w:r>
          </w:p>
        </w:tc>
      </w:tr>
      <w:tr>
        <w:tblPrEx>
          <w:tblCellMar>
            <w:top w:w="0" w:type="dxa"/>
            <w:left w:w="108" w:type="dxa"/>
            <w:bottom w:w="0" w:type="dxa"/>
            <w:right w:w="108" w:type="dxa"/>
          </w:tblCellMar>
        </w:tblPrEx>
        <w:trPr>
          <w:trHeight w:val="489" w:hRule="atLeast"/>
        </w:trPr>
        <w:tc>
          <w:tcPr>
            <w:tcW w:w="4482" w:type="dxa"/>
            <w:noWrap w:val="0"/>
            <w:vAlign w:val="top"/>
          </w:tcPr>
          <w:p>
            <w:pPr>
              <w:spacing w:line="240" w:lineRule="auto"/>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委托代理人：</w:t>
            </w:r>
          </w:p>
        </w:tc>
        <w:tc>
          <w:tcPr>
            <w:tcW w:w="4482" w:type="dxa"/>
            <w:noWrap w:val="0"/>
            <w:vAlign w:val="top"/>
          </w:tcPr>
          <w:p>
            <w:pPr>
              <w:spacing w:line="240" w:lineRule="auto"/>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委托代理人：</w:t>
            </w:r>
          </w:p>
        </w:tc>
      </w:tr>
      <w:tr>
        <w:tblPrEx>
          <w:tblCellMar>
            <w:top w:w="0" w:type="dxa"/>
            <w:left w:w="108" w:type="dxa"/>
            <w:bottom w:w="0" w:type="dxa"/>
            <w:right w:w="108" w:type="dxa"/>
          </w:tblCellMar>
        </w:tblPrEx>
        <w:trPr>
          <w:trHeight w:val="489" w:hRule="atLeast"/>
        </w:trPr>
        <w:tc>
          <w:tcPr>
            <w:tcW w:w="4482" w:type="dxa"/>
            <w:noWrap w:val="0"/>
            <w:vAlign w:val="top"/>
          </w:tcPr>
          <w:p>
            <w:pPr>
              <w:spacing w:line="240" w:lineRule="auto"/>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电话：</w:t>
            </w:r>
          </w:p>
        </w:tc>
        <w:tc>
          <w:tcPr>
            <w:tcW w:w="4482" w:type="dxa"/>
            <w:noWrap w:val="0"/>
            <w:vAlign w:val="top"/>
          </w:tcPr>
          <w:p>
            <w:pPr>
              <w:spacing w:line="240" w:lineRule="auto"/>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电话：</w:t>
            </w:r>
          </w:p>
        </w:tc>
      </w:tr>
      <w:tr>
        <w:tblPrEx>
          <w:tblCellMar>
            <w:top w:w="0" w:type="dxa"/>
            <w:left w:w="108" w:type="dxa"/>
            <w:bottom w:w="0" w:type="dxa"/>
            <w:right w:w="108" w:type="dxa"/>
          </w:tblCellMar>
        </w:tblPrEx>
        <w:trPr>
          <w:trHeight w:val="489" w:hRule="atLeast"/>
        </w:trPr>
        <w:tc>
          <w:tcPr>
            <w:tcW w:w="4482" w:type="dxa"/>
            <w:noWrap w:val="0"/>
            <w:vAlign w:val="top"/>
          </w:tcPr>
          <w:p>
            <w:pPr>
              <w:spacing w:line="240" w:lineRule="auto"/>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纳税人识别号：</w:t>
            </w:r>
          </w:p>
        </w:tc>
        <w:tc>
          <w:tcPr>
            <w:tcW w:w="4482" w:type="dxa"/>
            <w:noWrap w:val="0"/>
            <w:vAlign w:val="top"/>
          </w:tcPr>
          <w:p>
            <w:pPr>
              <w:spacing w:line="240" w:lineRule="auto"/>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纳税人识别号：</w:t>
            </w:r>
          </w:p>
        </w:tc>
      </w:tr>
      <w:tr>
        <w:tblPrEx>
          <w:tblCellMar>
            <w:top w:w="0" w:type="dxa"/>
            <w:left w:w="108" w:type="dxa"/>
            <w:bottom w:w="0" w:type="dxa"/>
            <w:right w:w="108" w:type="dxa"/>
          </w:tblCellMar>
        </w:tblPrEx>
        <w:trPr>
          <w:trHeight w:val="489" w:hRule="atLeast"/>
        </w:trPr>
        <w:tc>
          <w:tcPr>
            <w:tcW w:w="4482" w:type="dxa"/>
            <w:noWrap w:val="0"/>
            <w:vAlign w:val="top"/>
          </w:tcPr>
          <w:p>
            <w:pPr>
              <w:spacing w:line="240" w:lineRule="auto"/>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开户银行：</w:t>
            </w:r>
          </w:p>
        </w:tc>
        <w:tc>
          <w:tcPr>
            <w:tcW w:w="4482" w:type="dxa"/>
            <w:noWrap w:val="0"/>
            <w:vAlign w:val="top"/>
          </w:tcPr>
          <w:p>
            <w:pPr>
              <w:spacing w:line="240" w:lineRule="auto"/>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开户银行：</w:t>
            </w:r>
          </w:p>
        </w:tc>
      </w:tr>
      <w:tr>
        <w:tblPrEx>
          <w:tblCellMar>
            <w:top w:w="0" w:type="dxa"/>
            <w:left w:w="108" w:type="dxa"/>
            <w:bottom w:w="0" w:type="dxa"/>
            <w:right w:w="108" w:type="dxa"/>
          </w:tblCellMar>
        </w:tblPrEx>
        <w:trPr>
          <w:trHeight w:val="489" w:hRule="atLeast"/>
        </w:trPr>
        <w:tc>
          <w:tcPr>
            <w:tcW w:w="4482" w:type="dxa"/>
            <w:noWrap w:val="0"/>
            <w:vAlign w:val="top"/>
          </w:tcPr>
          <w:p>
            <w:pPr>
              <w:spacing w:line="240" w:lineRule="auto"/>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账号：</w:t>
            </w:r>
          </w:p>
        </w:tc>
        <w:tc>
          <w:tcPr>
            <w:tcW w:w="4482" w:type="dxa"/>
            <w:noWrap w:val="0"/>
            <w:vAlign w:val="top"/>
          </w:tcPr>
          <w:p>
            <w:pPr>
              <w:spacing w:line="240" w:lineRule="auto"/>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账号：</w:t>
            </w:r>
          </w:p>
        </w:tc>
      </w:tr>
    </w:tbl>
    <w:p>
      <w:pPr>
        <w:spacing w:line="240" w:lineRule="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14:textFill>
            <w14:solidFill>
              <w14:schemeClr w14:val="tx1"/>
            </w14:solidFill>
          </w14:textFill>
        </w:rPr>
        <w:t>（提示：公章系签订合同单位的单位公章或合同专用章；地址、电话系增值税发票列明的联系地址、电话，而非合同经办人的联系地址、电话）</w:t>
      </w:r>
    </w:p>
    <w:p>
      <w:pPr>
        <w:spacing w:line="240" w:lineRule="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CwiaGRpZCI6ImIyMzU0OWU2YmRiOWQ4MjNkOTJjN2M4ZmVlMDk2MDBiIiwidXNlckNvdW50Ijo0fQ=="/>
  </w:docVars>
  <w:rsids>
    <w:rsidRoot w:val="162853DD"/>
    <w:rsid w:val="0C3D1F8C"/>
    <w:rsid w:val="162853DD"/>
    <w:rsid w:val="1F0632F6"/>
    <w:rsid w:val="5A60366D"/>
    <w:rsid w:val="60EB3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o\AppData\Roaming\kingsoft\office6\templates\download\d68a7985-b4a6-4a53-bb23-79d0f553f120\&#38050;&#26448;&#20080;&#21334;&#21512;&#2151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钢材买卖合同.docx</Template>
  <Pages>12</Pages>
  <Words>5168</Words>
  <Characters>5322</Characters>
  <Lines>0</Lines>
  <Paragraphs>0</Paragraphs>
  <TotalTime>1</TotalTime>
  <ScaleCrop>false</ScaleCrop>
  <LinksUpToDate>false</LinksUpToDate>
  <CharactersWithSpaces>6303</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2022-07-21T09:00:00Z</dcterms:created>
  <dc:creator>xiao青</dc:creator>
  <cp:lastModifiedBy>xiao青</cp:lastModifiedBy>
  <dcterms:modified xsi:type="dcterms:W3CDTF">2022-07-27T03:05:54Z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KSOTemplateUUID">
    <vt:lpwstr>v1.0_library_QL2cxudHi6N4G7Mb1fGAAw==</vt:lpwstr>
  </property>
  <property fmtid="{D5CDD505-2E9C-101B-9397-08002B2CF9AE}" pid="4" name="ICV">
    <vt:lpwstr>A57E3687D15E487A9EC7F11289CEB559</vt:lpwstr>
  </property>
</Properties>
</file>